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113BC" w14:textId="057E5DCD" w:rsidR="004379DE" w:rsidRDefault="004379DE" w:rsidP="00BE589D">
      <w:pPr>
        <w:spacing w:after="0" w:line="240" w:lineRule="auto"/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628EE724" w14:textId="6D38F22B" w:rsidR="004379DE" w:rsidRDefault="00FE4EE4" w:rsidP="00BE589D">
      <w:pPr>
        <w:spacing w:after="0" w:line="240" w:lineRule="auto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i/>
          <w:iCs/>
          <w:noProof/>
          <w:sz w:val="22"/>
          <w:szCs w:val="22"/>
          <w:lang w:eastAsia="pt-BR"/>
        </w:rPr>
        <w:drawing>
          <wp:inline distT="0" distB="0" distL="0" distR="0" wp14:anchorId="3CAF5155" wp14:editId="2CD01182">
            <wp:extent cx="1605453" cy="1199016"/>
            <wp:effectExtent l="0" t="0" r="0" b="0"/>
            <wp:docPr id="2" name="Imagem 2" descr="Captura%20de%20Tela%202017-06-30%20às%2018.06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%20de%20Tela%202017-06-30%20às%2018.06.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75" cy="121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09371" w14:textId="77777777" w:rsidR="00697550" w:rsidRDefault="00697550" w:rsidP="00BE589D">
      <w:pPr>
        <w:spacing w:after="0" w:line="240" w:lineRule="auto"/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29115457" w14:textId="77777777" w:rsidR="00697550" w:rsidRDefault="00697550" w:rsidP="00BE589D">
      <w:pPr>
        <w:spacing w:after="0" w:line="240" w:lineRule="auto"/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18DD62A7" w14:textId="77777777" w:rsidR="00697550" w:rsidRDefault="00697550" w:rsidP="00BE589D">
      <w:pPr>
        <w:spacing w:after="0" w:line="240" w:lineRule="auto"/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1A731997" w14:textId="163B846B" w:rsidR="00697550" w:rsidRDefault="00697550" w:rsidP="00697550">
      <w:pPr>
        <w:spacing w:after="0" w:line="240" w:lineRule="auto"/>
        <w:jc w:val="center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VISTA POR QUATRO M</w:t>
      </w:r>
      <w:r w:rsidR="00FE4EE4">
        <w:rPr>
          <w:rFonts w:ascii="Calibri" w:hAnsi="Calibri"/>
          <w:b/>
          <w:bCs/>
          <w:iCs/>
          <w:sz w:val="22"/>
          <w:szCs w:val="22"/>
        </w:rPr>
        <w:t xml:space="preserve">ILHÕES DE PESSOAS EM 25 PAÍSES, MOSTRA </w:t>
      </w:r>
      <w:r w:rsidRPr="003D5232">
        <w:rPr>
          <w:rFonts w:ascii="Calibri" w:hAnsi="Calibri"/>
          <w:b/>
          <w:bCs/>
          <w:i/>
          <w:iCs/>
          <w:sz w:val="22"/>
          <w:szCs w:val="22"/>
        </w:rPr>
        <w:t>A ERA DOS GAMES</w:t>
      </w:r>
      <w:r w:rsidRPr="00F60774">
        <w:rPr>
          <w:rFonts w:asciiTheme="majorHAnsi" w:hAnsiTheme="majorHAnsi"/>
          <w:b/>
          <w:sz w:val="22"/>
          <w:szCs w:val="22"/>
        </w:rPr>
        <w:t xml:space="preserve"> </w:t>
      </w:r>
    </w:p>
    <w:p w14:paraId="1B8DE44B" w14:textId="7F6A8D59" w:rsidR="00697550" w:rsidRPr="00697550" w:rsidRDefault="00FE4EE4" w:rsidP="00697550">
      <w:pPr>
        <w:spacing w:after="0" w:line="240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JOGA LUZ SOBRE O MAIOR FENÔMENO DA CULTURA DE MASSA DO SÉCULO 21</w:t>
      </w:r>
    </w:p>
    <w:p w14:paraId="40D4F653" w14:textId="77777777" w:rsidR="00697550" w:rsidRPr="003D5232" w:rsidRDefault="00697550" w:rsidP="00697550">
      <w:pPr>
        <w:spacing w:after="0" w:line="240" w:lineRule="auto"/>
        <w:outlineLvl w:val="0"/>
        <w:rPr>
          <w:rFonts w:ascii="Calibri" w:hAnsi="Calibri"/>
          <w:b/>
          <w:bCs/>
          <w:sz w:val="22"/>
          <w:szCs w:val="22"/>
        </w:rPr>
      </w:pPr>
    </w:p>
    <w:p w14:paraId="5C4E2C80" w14:textId="094034BE" w:rsidR="00697550" w:rsidRDefault="00EA08FE" w:rsidP="00697550">
      <w:pPr>
        <w:spacing w:after="0" w:line="240" w:lineRule="auto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Público poderá interagir com </w:t>
      </w:r>
      <w:r w:rsidR="00FE4EE4">
        <w:rPr>
          <w:rFonts w:ascii="Calibri" w:hAnsi="Calibri"/>
          <w:b/>
          <w:bCs/>
          <w:sz w:val="22"/>
          <w:szCs w:val="22"/>
        </w:rPr>
        <w:t xml:space="preserve">mais de 150 jogos eletrônicos </w:t>
      </w:r>
      <w:r>
        <w:rPr>
          <w:rFonts w:ascii="Calibri" w:hAnsi="Calibri"/>
          <w:b/>
          <w:bCs/>
          <w:sz w:val="22"/>
          <w:szCs w:val="22"/>
        </w:rPr>
        <w:t>no prédio da Bienal</w:t>
      </w:r>
      <w:bookmarkStart w:id="0" w:name="_GoBack"/>
      <w:bookmarkEnd w:id="0"/>
      <w:r w:rsidR="00FE4EE4">
        <w:rPr>
          <w:rFonts w:ascii="Calibri" w:hAnsi="Calibri"/>
          <w:b/>
          <w:bCs/>
          <w:sz w:val="22"/>
          <w:szCs w:val="22"/>
        </w:rPr>
        <w:t xml:space="preserve"> </w:t>
      </w:r>
    </w:p>
    <w:p w14:paraId="3E0E0BFB" w14:textId="77777777" w:rsidR="00697550" w:rsidRDefault="00697550" w:rsidP="00697550">
      <w:pPr>
        <w:spacing w:after="0" w:line="240" w:lineRule="auto"/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3BEE8216" w14:textId="5F4E251C" w:rsidR="00697550" w:rsidRDefault="00697550" w:rsidP="00697550">
      <w:pPr>
        <w:spacing w:after="0" w:line="240" w:lineRule="auto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Ingressos já estão à venda</w:t>
      </w:r>
    </w:p>
    <w:p w14:paraId="72F0E70B" w14:textId="77777777" w:rsidR="00BE589D" w:rsidRDefault="00BE589D" w:rsidP="00BE589D">
      <w:pPr>
        <w:spacing w:after="0" w:line="240" w:lineRule="auto"/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7DBF2592" w14:textId="77777777" w:rsidR="00697550" w:rsidRPr="00982DC4" w:rsidRDefault="00697550" w:rsidP="00BE589D">
      <w:pPr>
        <w:spacing w:after="0" w:line="240" w:lineRule="auto"/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1EDC7374" w14:textId="67C5A307" w:rsidR="00BE589D" w:rsidRDefault="00BE589D" w:rsidP="00BE589D">
      <w:pPr>
        <w:spacing w:after="0" w:line="240" w:lineRule="auto"/>
        <w:jc w:val="center"/>
        <w:outlineLvl w:val="0"/>
        <w:rPr>
          <w:rFonts w:asciiTheme="majorHAnsi" w:hAnsiTheme="majorHAnsi"/>
          <w:b/>
          <w:sz w:val="18"/>
          <w:szCs w:val="18"/>
        </w:rPr>
      </w:pPr>
      <w:r w:rsidRPr="00BE589D">
        <w:rPr>
          <w:rFonts w:asciiTheme="majorHAnsi" w:hAnsiTheme="majorHAnsi"/>
          <w:b/>
          <w:sz w:val="18"/>
          <w:szCs w:val="18"/>
        </w:rPr>
        <w:t xml:space="preserve">FOTOS EM ALTA: </w:t>
      </w:r>
    </w:p>
    <w:p w14:paraId="240C2AF2" w14:textId="26191338" w:rsidR="00143924" w:rsidRPr="00BE589D" w:rsidRDefault="00143924" w:rsidP="00BE589D">
      <w:pPr>
        <w:spacing w:after="0" w:line="240" w:lineRule="auto"/>
        <w:jc w:val="center"/>
        <w:outlineLvl w:val="0"/>
        <w:rPr>
          <w:rFonts w:asciiTheme="majorHAnsi" w:hAnsiTheme="majorHAnsi"/>
          <w:b/>
          <w:sz w:val="18"/>
          <w:szCs w:val="18"/>
        </w:rPr>
      </w:pPr>
      <w:r w:rsidRPr="00143924">
        <w:rPr>
          <w:rFonts w:asciiTheme="majorHAnsi" w:hAnsiTheme="majorHAnsi"/>
          <w:b/>
          <w:sz w:val="18"/>
          <w:szCs w:val="18"/>
        </w:rPr>
        <w:t>https://www.dropbox.com/sh/bh7vedy31k835cj/AADWiMHn6gycqp2tg-586WxPa?dl=0</w:t>
      </w:r>
    </w:p>
    <w:p w14:paraId="0A45F6B2" w14:textId="77777777" w:rsidR="00BE589D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4ACCC857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915BE11" w14:textId="0AB4152A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A85467">
        <w:rPr>
          <w:rFonts w:asciiTheme="majorHAnsi" w:hAnsiTheme="majorHAnsi"/>
          <w:sz w:val="22"/>
          <w:szCs w:val="22"/>
        </w:rPr>
        <w:t>Do rústic</w:t>
      </w:r>
      <w:r>
        <w:rPr>
          <w:rFonts w:asciiTheme="majorHAnsi" w:hAnsiTheme="majorHAnsi"/>
          <w:sz w:val="22"/>
          <w:szCs w:val="22"/>
        </w:rPr>
        <w:t>o fliperama</w:t>
      </w:r>
      <w:r w:rsidRPr="00A85467">
        <w:rPr>
          <w:rFonts w:asciiTheme="majorHAnsi" w:hAnsiTheme="majorHAnsi"/>
          <w:sz w:val="22"/>
          <w:szCs w:val="22"/>
        </w:rPr>
        <w:t xml:space="preserve"> à intrépida caçada de</w:t>
      </w:r>
      <w:r w:rsidRPr="00A85467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85467">
        <w:rPr>
          <w:rFonts w:asciiTheme="majorHAnsi" w:hAnsiTheme="majorHAnsi"/>
          <w:i/>
          <w:sz w:val="22"/>
          <w:szCs w:val="22"/>
        </w:rPr>
        <w:t>pokemons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 virtuais nas ruas</w:t>
      </w:r>
      <w:r>
        <w:rPr>
          <w:rFonts w:asciiTheme="majorHAnsi" w:hAnsiTheme="majorHAnsi"/>
          <w:sz w:val="22"/>
          <w:szCs w:val="22"/>
        </w:rPr>
        <w:t>, em menos de 6</w:t>
      </w:r>
      <w:r w:rsidRPr="00A85467">
        <w:rPr>
          <w:rFonts w:asciiTheme="majorHAnsi" w:hAnsiTheme="majorHAnsi"/>
          <w:sz w:val="22"/>
          <w:szCs w:val="22"/>
        </w:rPr>
        <w:t xml:space="preserve">0 anos os videogames passaram de </w:t>
      </w:r>
      <w:r>
        <w:rPr>
          <w:rFonts w:asciiTheme="majorHAnsi" w:hAnsiTheme="majorHAnsi"/>
          <w:sz w:val="22"/>
          <w:szCs w:val="22"/>
        </w:rPr>
        <w:t>simples</w:t>
      </w:r>
      <w:r w:rsidRPr="00A85467">
        <w:rPr>
          <w:rFonts w:asciiTheme="majorHAnsi" w:hAnsiTheme="majorHAnsi"/>
          <w:sz w:val="22"/>
          <w:szCs w:val="22"/>
        </w:rPr>
        <w:t xml:space="preserve"> brincadeira de </w:t>
      </w:r>
      <w:proofErr w:type="spellStart"/>
      <w:r w:rsidRPr="00F573E7">
        <w:rPr>
          <w:rFonts w:asciiTheme="majorHAnsi" w:hAnsiTheme="majorHAnsi"/>
          <w:i/>
          <w:sz w:val="22"/>
          <w:szCs w:val="22"/>
        </w:rPr>
        <w:t>nerds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 a poderosas ferramentas tecnológicas e fenômeno </w:t>
      </w:r>
      <w:r>
        <w:rPr>
          <w:rFonts w:asciiTheme="majorHAnsi" w:hAnsiTheme="majorHAnsi"/>
          <w:sz w:val="22"/>
          <w:szCs w:val="22"/>
        </w:rPr>
        <w:t xml:space="preserve">contemporâneo </w:t>
      </w:r>
      <w:r w:rsidRPr="00A85467">
        <w:rPr>
          <w:rFonts w:asciiTheme="majorHAnsi" w:hAnsiTheme="majorHAnsi"/>
          <w:sz w:val="22"/>
          <w:szCs w:val="22"/>
        </w:rPr>
        <w:t>da cultura de massa, capaz</w:t>
      </w:r>
      <w:r>
        <w:rPr>
          <w:rFonts w:asciiTheme="majorHAnsi" w:hAnsiTheme="majorHAnsi"/>
          <w:sz w:val="22"/>
          <w:szCs w:val="22"/>
        </w:rPr>
        <w:t>es</w:t>
      </w:r>
      <w:r w:rsidRPr="00A85467">
        <w:rPr>
          <w:rFonts w:asciiTheme="majorHAnsi" w:hAnsiTheme="majorHAnsi"/>
          <w:sz w:val="22"/>
          <w:szCs w:val="22"/>
        </w:rPr>
        <w:t xml:space="preserve"> de influenciar a maneira como as novas gerações se relacionam com o mundo. </w:t>
      </w:r>
      <w:r>
        <w:rPr>
          <w:rFonts w:asciiTheme="majorHAnsi" w:hAnsiTheme="majorHAnsi"/>
          <w:sz w:val="22"/>
          <w:szCs w:val="22"/>
        </w:rPr>
        <w:t>Força-motriz</w:t>
      </w:r>
      <w:r w:rsidRPr="00A85467">
        <w:rPr>
          <w:rFonts w:asciiTheme="majorHAnsi" w:hAnsiTheme="majorHAnsi"/>
          <w:sz w:val="22"/>
          <w:szCs w:val="22"/>
        </w:rPr>
        <w:t xml:space="preserve"> de uma indústria que movimenta mais dinheiro que o cinema e a música somados, os jogos eletrônicos são tema da megaexposição </w:t>
      </w:r>
      <w:r w:rsidRPr="0051152D">
        <w:rPr>
          <w:rFonts w:ascii="Calibri" w:hAnsi="Calibri"/>
          <w:b/>
          <w:bCs/>
          <w:i/>
          <w:sz w:val="22"/>
          <w:szCs w:val="22"/>
        </w:rPr>
        <w:t>A Era dos Games</w:t>
      </w:r>
      <w:r w:rsidRPr="00A85467">
        <w:rPr>
          <w:rFonts w:asciiTheme="majorHAnsi" w:hAnsiTheme="majorHAnsi"/>
          <w:sz w:val="22"/>
          <w:szCs w:val="22"/>
        </w:rPr>
        <w:t xml:space="preserve">, concebida pelo </w:t>
      </w:r>
      <w:proofErr w:type="spellStart"/>
      <w:r w:rsidRPr="00FD06C1">
        <w:rPr>
          <w:rFonts w:ascii="Calibri" w:hAnsi="Calibri"/>
          <w:b/>
          <w:bCs/>
          <w:sz w:val="22"/>
          <w:szCs w:val="22"/>
        </w:rPr>
        <w:t>Barbican</w:t>
      </w:r>
      <w:proofErr w:type="spellEnd"/>
      <w:r w:rsidRPr="00FD06C1">
        <w:rPr>
          <w:rFonts w:ascii="Calibri" w:hAnsi="Calibri"/>
          <w:b/>
          <w:bCs/>
          <w:sz w:val="22"/>
          <w:szCs w:val="22"/>
        </w:rPr>
        <w:t xml:space="preserve"> Centre</w:t>
      </w:r>
      <w:r w:rsidRPr="00A85467">
        <w:rPr>
          <w:rFonts w:asciiTheme="majorHAnsi" w:hAnsiTheme="majorHAnsi"/>
          <w:sz w:val="22"/>
          <w:szCs w:val="22"/>
        </w:rPr>
        <w:t xml:space="preserve"> de Londres, que chega ao Brasil depois de percorrer </w:t>
      </w:r>
      <w:r>
        <w:rPr>
          <w:rFonts w:asciiTheme="majorHAnsi" w:hAnsiTheme="majorHAnsi"/>
          <w:sz w:val="22"/>
          <w:szCs w:val="22"/>
        </w:rPr>
        <w:t>33 cidades de 25</w:t>
      </w:r>
      <w:r w:rsidRPr="00A85467">
        <w:rPr>
          <w:rFonts w:asciiTheme="majorHAnsi" w:hAnsiTheme="majorHAnsi"/>
          <w:sz w:val="22"/>
          <w:szCs w:val="22"/>
        </w:rPr>
        <w:t xml:space="preserve"> países e ser vista por </w:t>
      </w:r>
      <w:r w:rsidR="00697550">
        <w:rPr>
          <w:rFonts w:asciiTheme="majorHAnsi" w:hAnsiTheme="majorHAnsi"/>
          <w:sz w:val="22"/>
          <w:szCs w:val="22"/>
        </w:rPr>
        <w:t>quase quatro</w:t>
      </w:r>
      <w:r w:rsidRPr="00A85467">
        <w:rPr>
          <w:rFonts w:asciiTheme="majorHAnsi" w:hAnsiTheme="majorHAnsi"/>
          <w:sz w:val="22"/>
          <w:szCs w:val="22"/>
        </w:rPr>
        <w:t xml:space="preserve"> milhões de pessoas. </w:t>
      </w:r>
      <w:r w:rsidR="004F6526">
        <w:rPr>
          <w:rFonts w:asciiTheme="majorHAnsi" w:hAnsiTheme="majorHAnsi"/>
          <w:sz w:val="22"/>
          <w:szCs w:val="22"/>
        </w:rPr>
        <w:t xml:space="preserve">Apresentada pelo </w:t>
      </w:r>
      <w:r w:rsidR="004F6526" w:rsidRPr="00BE3F00">
        <w:rPr>
          <w:rFonts w:ascii="Calibri" w:hAnsi="Calibri"/>
          <w:b/>
          <w:bCs/>
          <w:sz w:val="22"/>
          <w:szCs w:val="22"/>
        </w:rPr>
        <w:t>Ministério da Cultura</w:t>
      </w:r>
      <w:r w:rsidR="004F6526">
        <w:rPr>
          <w:rFonts w:asciiTheme="majorHAnsi" w:hAnsiTheme="majorHAnsi"/>
          <w:b/>
          <w:sz w:val="22"/>
          <w:szCs w:val="22"/>
        </w:rPr>
        <w:t xml:space="preserve"> </w:t>
      </w:r>
      <w:r w:rsidR="004F6526">
        <w:rPr>
          <w:rFonts w:asciiTheme="majorHAnsi" w:hAnsiTheme="majorHAnsi"/>
          <w:sz w:val="22"/>
          <w:szCs w:val="22"/>
        </w:rPr>
        <w:t>e</w:t>
      </w:r>
      <w:r w:rsidRPr="00A8546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E3F00">
        <w:rPr>
          <w:rFonts w:ascii="Calibri" w:hAnsi="Calibri"/>
          <w:b/>
          <w:bCs/>
          <w:sz w:val="22"/>
          <w:szCs w:val="22"/>
        </w:rPr>
        <w:t>Brasilprev</w:t>
      </w:r>
      <w:proofErr w:type="spellEnd"/>
      <w:r w:rsidR="004F6526">
        <w:rPr>
          <w:rFonts w:asciiTheme="majorHAnsi" w:hAnsiTheme="majorHAnsi"/>
          <w:b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 w:rsidRPr="00B8535C">
        <w:rPr>
          <w:rFonts w:asciiTheme="majorHAnsi" w:hAnsiTheme="majorHAnsi"/>
          <w:sz w:val="22"/>
          <w:szCs w:val="22"/>
        </w:rPr>
        <w:t>através da Lei Federal de</w:t>
      </w:r>
      <w:r>
        <w:rPr>
          <w:rFonts w:asciiTheme="majorHAnsi" w:hAnsiTheme="majorHAnsi"/>
          <w:sz w:val="22"/>
          <w:szCs w:val="22"/>
        </w:rPr>
        <w:t xml:space="preserve"> Incentivo à Cultura</w:t>
      </w:r>
      <w:r w:rsidRPr="00A85467">
        <w:rPr>
          <w:rFonts w:asciiTheme="majorHAnsi" w:hAnsiTheme="majorHAnsi"/>
          <w:sz w:val="22"/>
          <w:szCs w:val="22"/>
        </w:rPr>
        <w:t xml:space="preserve">, a mostra ocupará o </w:t>
      </w:r>
      <w:r w:rsidRPr="00BE3F00">
        <w:rPr>
          <w:rFonts w:ascii="Calibri" w:hAnsi="Calibri"/>
          <w:b/>
          <w:bCs/>
          <w:sz w:val="22"/>
          <w:szCs w:val="22"/>
        </w:rPr>
        <w:t>Pavilhão da Bienal</w:t>
      </w:r>
      <w:r w:rsidRPr="00A85467">
        <w:rPr>
          <w:rFonts w:asciiTheme="majorHAnsi" w:hAnsiTheme="majorHAnsi"/>
          <w:sz w:val="22"/>
          <w:szCs w:val="22"/>
        </w:rPr>
        <w:t xml:space="preserve">, no Parque Ibirapuera, entre </w:t>
      </w:r>
      <w:r>
        <w:rPr>
          <w:rFonts w:asciiTheme="majorHAnsi" w:hAnsiTheme="majorHAnsi"/>
          <w:sz w:val="22"/>
          <w:szCs w:val="22"/>
        </w:rPr>
        <w:t>16</w:t>
      </w:r>
      <w:r w:rsidRPr="00A85467">
        <w:rPr>
          <w:rFonts w:asciiTheme="majorHAnsi" w:hAnsiTheme="majorHAnsi"/>
          <w:sz w:val="22"/>
          <w:szCs w:val="22"/>
        </w:rPr>
        <w:t xml:space="preserve"> de agosto e 12 de novembro. Depois, segue para o </w:t>
      </w:r>
      <w:r w:rsidRPr="002A017C">
        <w:rPr>
          <w:rFonts w:ascii="Calibri" w:hAnsi="Calibri"/>
          <w:b/>
          <w:bCs/>
          <w:sz w:val="22"/>
          <w:szCs w:val="22"/>
        </w:rPr>
        <w:t>Museu Histórico Nacional</w:t>
      </w:r>
      <w:r w:rsidRPr="00A85467">
        <w:rPr>
          <w:rFonts w:asciiTheme="majorHAnsi" w:hAnsiTheme="majorHAnsi"/>
          <w:sz w:val="22"/>
          <w:szCs w:val="22"/>
        </w:rPr>
        <w:t xml:space="preserve"> no Rio de Janeiro, onde ficará em cartaz de 6 de dezembro a 05 de março de 2018</w:t>
      </w:r>
      <w:r>
        <w:rPr>
          <w:rFonts w:asciiTheme="majorHAnsi" w:hAnsiTheme="majorHAnsi"/>
          <w:sz w:val="22"/>
          <w:szCs w:val="22"/>
        </w:rPr>
        <w:t xml:space="preserve">. Nas duas cidades, </w:t>
      </w:r>
      <w:r w:rsidRPr="00A85467">
        <w:rPr>
          <w:rFonts w:asciiTheme="majorHAnsi" w:hAnsiTheme="majorHAnsi"/>
          <w:sz w:val="22"/>
          <w:szCs w:val="22"/>
        </w:rPr>
        <w:t xml:space="preserve">o público </w:t>
      </w:r>
      <w:r>
        <w:rPr>
          <w:rFonts w:asciiTheme="majorHAnsi" w:hAnsiTheme="majorHAnsi"/>
          <w:sz w:val="22"/>
          <w:szCs w:val="22"/>
        </w:rPr>
        <w:t xml:space="preserve">poderá </w:t>
      </w:r>
      <w:r w:rsidRPr="00A85467">
        <w:rPr>
          <w:rFonts w:asciiTheme="majorHAnsi" w:hAnsiTheme="majorHAnsi"/>
          <w:sz w:val="22"/>
          <w:szCs w:val="22"/>
        </w:rPr>
        <w:t>interagir</w:t>
      </w:r>
      <w:r>
        <w:rPr>
          <w:rFonts w:asciiTheme="majorHAnsi" w:hAnsiTheme="majorHAnsi"/>
          <w:sz w:val="22"/>
          <w:szCs w:val="22"/>
        </w:rPr>
        <w:t xml:space="preserve"> com mais de 150 jogos de sucesso.</w:t>
      </w:r>
    </w:p>
    <w:p w14:paraId="12295CE2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57DD013F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A85467">
        <w:rPr>
          <w:rFonts w:asciiTheme="majorHAnsi" w:hAnsiTheme="majorHAnsi"/>
          <w:sz w:val="22"/>
          <w:szCs w:val="22"/>
        </w:rPr>
        <w:t>Mesmo tendo a interatividade como um de seus principais focos, o objetivo da mostra é múltiplo e contempla aspectos bastante amplos, como a rememoração da história dos games; a apresentação das novas e revolucionárias possibilidades neste campo, com o surgimento de outras tecnologias; e</w:t>
      </w:r>
      <w:r>
        <w:rPr>
          <w:rFonts w:asciiTheme="majorHAnsi" w:hAnsiTheme="majorHAnsi"/>
          <w:sz w:val="22"/>
          <w:szCs w:val="22"/>
        </w:rPr>
        <w:t>,</w:t>
      </w:r>
      <w:r w:rsidRPr="00A85467">
        <w:rPr>
          <w:rFonts w:asciiTheme="majorHAnsi" w:hAnsiTheme="majorHAnsi"/>
          <w:sz w:val="22"/>
          <w:szCs w:val="22"/>
        </w:rPr>
        <w:t xml:space="preserve"> finalmente</w:t>
      </w:r>
      <w:r>
        <w:rPr>
          <w:rFonts w:asciiTheme="majorHAnsi" w:hAnsiTheme="majorHAnsi"/>
          <w:sz w:val="22"/>
          <w:szCs w:val="22"/>
        </w:rPr>
        <w:t>,</w:t>
      </w:r>
      <w:r w:rsidRPr="00A85467">
        <w:rPr>
          <w:rFonts w:asciiTheme="majorHAnsi" w:hAnsiTheme="majorHAnsi"/>
          <w:sz w:val="22"/>
          <w:szCs w:val="22"/>
        </w:rPr>
        <w:t xml:space="preserve"> uma cuidadosa explanação da complexa teia de elementos e influências responsáveis pelas diferentes etapas do processo de criação e distribuição dos games. Em outras palavras, ao mesmo tempo em que investiga o desenvolvimento e uso dos jogos eletrônicos, a mostra procura explorar seus desdobramentos e nexos com a cultura contemporânea.</w:t>
      </w:r>
    </w:p>
    <w:p w14:paraId="5485C219" w14:textId="77777777" w:rsidR="00BE589D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2A742EB9" w14:textId="77777777" w:rsidR="00BE589D" w:rsidRPr="00DB15E8" w:rsidRDefault="00BE589D" w:rsidP="00BE589D">
      <w:pPr>
        <w:spacing w:after="0" w:line="240" w:lineRule="auto"/>
        <w:jc w:val="both"/>
        <w:rPr>
          <w:rFonts w:asciiTheme="majorHAnsi" w:eastAsia="Times New Roman" w:hAnsiTheme="majorHAnsi"/>
          <w:sz w:val="22"/>
          <w:szCs w:val="22"/>
          <w:lang w:eastAsia="pt-BR"/>
        </w:rPr>
      </w:pPr>
      <w:r>
        <w:rPr>
          <w:rFonts w:asciiTheme="majorHAnsi" w:hAnsiTheme="majorHAnsi"/>
          <w:sz w:val="22"/>
          <w:szCs w:val="22"/>
        </w:rPr>
        <w:t>“</w:t>
      </w:r>
      <w:r w:rsidRPr="00E0132E">
        <w:rPr>
          <w:rFonts w:asciiTheme="majorHAnsi" w:hAnsiTheme="majorHAnsi"/>
          <w:sz w:val="22"/>
          <w:szCs w:val="22"/>
        </w:rPr>
        <w:t>Nã</w:t>
      </w:r>
      <w:r>
        <w:rPr>
          <w:rFonts w:asciiTheme="majorHAnsi" w:hAnsiTheme="majorHAnsi"/>
          <w:sz w:val="22"/>
          <w:szCs w:val="22"/>
        </w:rPr>
        <w:t xml:space="preserve">o há dúvida de que os </w:t>
      </w:r>
      <w:r w:rsidRPr="00E0132E">
        <w:rPr>
          <w:rFonts w:asciiTheme="majorHAnsi" w:hAnsiTheme="majorHAnsi"/>
          <w:i/>
          <w:sz w:val="22"/>
          <w:szCs w:val="22"/>
        </w:rPr>
        <w:t>videogames</w:t>
      </w:r>
      <w:r w:rsidRPr="00E0132E">
        <w:rPr>
          <w:rFonts w:asciiTheme="majorHAnsi" w:hAnsiTheme="majorHAnsi"/>
          <w:sz w:val="22"/>
          <w:szCs w:val="22"/>
        </w:rPr>
        <w:t xml:space="preserve"> tiveram um grande impacto na cultura visual contemporânea. </w:t>
      </w:r>
      <w:r w:rsidRPr="00B0006A">
        <w:rPr>
          <w:rFonts w:ascii="Calibri" w:hAnsi="Calibri"/>
          <w:b/>
          <w:bCs/>
          <w:i/>
          <w:sz w:val="22"/>
          <w:szCs w:val="22"/>
        </w:rPr>
        <w:t>A Era dos Games</w:t>
      </w:r>
      <w:r w:rsidRPr="00E0132E">
        <w:rPr>
          <w:rFonts w:asciiTheme="majorHAnsi" w:hAnsiTheme="majorHAnsi"/>
          <w:sz w:val="22"/>
          <w:szCs w:val="22"/>
        </w:rPr>
        <w:t xml:space="preserve"> pretende demonstrar a força criativa </w:t>
      </w:r>
      <w:r>
        <w:rPr>
          <w:rFonts w:asciiTheme="majorHAnsi" w:hAnsiTheme="majorHAnsi"/>
          <w:sz w:val="22"/>
          <w:szCs w:val="22"/>
        </w:rPr>
        <w:t>considerável</w:t>
      </w:r>
      <w:r w:rsidRPr="00E0132E">
        <w:rPr>
          <w:rFonts w:asciiTheme="majorHAnsi" w:hAnsiTheme="majorHAnsi"/>
          <w:sz w:val="22"/>
          <w:szCs w:val="22"/>
        </w:rPr>
        <w:t xml:space="preserve"> que sustenta a indústria, destacando as contribuições de indivíduos e empresas-chave que desempenharam um papel na sua evolução. A exposição explora a influência de músicos, cineastas e artistas e mostra claramente que algumas das inovações mais criativas do nosso </w:t>
      </w:r>
      <w:r w:rsidRPr="00DB15E8">
        <w:rPr>
          <w:rFonts w:asciiTheme="majorHAnsi" w:hAnsiTheme="majorHAnsi"/>
          <w:sz w:val="22"/>
          <w:szCs w:val="22"/>
        </w:rPr>
        <w:t xml:space="preserve">tempo passaram por este meio fenomenal”, resume </w:t>
      </w:r>
      <w:r w:rsidRPr="00DB15E8">
        <w:rPr>
          <w:rFonts w:ascii="Calibri" w:hAnsi="Calibri"/>
          <w:b/>
          <w:bCs/>
          <w:sz w:val="22"/>
          <w:szCs w:val="22"/>
        </w:rPr>
        <w:t xml:space="preserve">Neil </w:t>
      </w:r>
      <w:proofErr w:type="spellStart"/>
      <w:r w:rsidRPr="00DB15E8">
        <w:rPr>
          <w:rFonts w:ascii="Calibri" w:eastAsia="Times New Roman" w:hAnsi="Calibri"/>
          <w:b/>
          <w:bCs/>
          <w:color w:val="000000"/>
          <w:sz w:val="22"/>
          <w:szCs w:val="22"/>
          <w:lang w:eastAsia="pt-BR"/>
        </w:rPr>
        <w:t>McConnon</w:t>
      </w:r>
      <w:proofErr w:type="spellEnd"/>
      <w:r w:rsidRPr="00DB15E8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, diretor do </w:t>
      </w:r>
      <w:proofErr w:type="spellStart"/>
      <w:r w:rsidRPr="00DB15E8">
        <w:rPr>
          <w:rFonts w:ascii="Calibri" w:eastAsia="Times New Roman" w:hAnsi="Calibri"/>
          <w:b/>
          <w:bCs/>
          <w:color w:val="000000"/>
          <w:sz w:val="22"/>
          <w:szCs w:val="22"/>
          <w:lang w:eastAsia="pt-BR"/>
        </w:rPr>
        <w:t>Barbican</w:t>
      </w:r>
      <w:proofErr w:type="spellEnd"/>
      <w:r w:rsidRPr="00DB15E8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>.</w:t>
      </w:r>
    </w:p>
    <w:p w14:paraId="4631296D" w14:textId="77777777" w:rsidR="00BE589D" w:rsidRPr="00132F7B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670F199B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A85467">
        <w:rPr>
          <w:rFonts w:asciiTheme="majorHAnsi" w:hAnsiTheme="majorHAnsi"/>
          <w:sz w:val="22"/>
          <w:szCs w:val="22"/>
        </w:rPr>
        <w:lastRenderedPageBreak/>
        <w:t xml:space="preserve">A exposição </w:t>
      </w:r>
      <w:r>
        <w:rPr>
          <w:rFonts w:asciiTheme="majorHAnsi" w:hAnsiTheme="majorHAnsi"/>
          <w:sz w:val="22"/>
          <w:szCs w:val="22"/>
        </w:rPr>
        <w:t>-</w:t>
      </w:r>
      <w:r w:rsidRPr="00A85467">
        <w:rPr>
          <w:rFonts w:asciiTheme="majorHAnsi" w:hAnsiTheme="majorHAnsi"/>
          <w:sz w:val="22"/>
          <w:szCs w:val="22"/>
        </w:rPr>
        <w:t xml:space="preserve"> que consumiu dois anos de trabalho intenso</w:t>
      </w:r>
      <w:r>
        <w:rPr>
          <w:rFonts w:asciiTheme="majorHAnsi" w:hAnsiTheme="majorHAnsi"/>
          <w:sz w:val="22"/>
          <w:szCs w:val="22"/>
        </w:rPr>
        <w:t>,</w:t>
      </w:r>
      <w:r w:rsidRPr="00A85467">
        <w:rPr>
          <w:rFonts w:asciiTheme="majorHAnsi" w:hAnsiTheme="majorHAnsi"/>
          <w:sz w:val="22"/>
          <w:szCs w:val="22"/>
        </w:rPr>
        <w:t xml:space="preserve"> a um custo </w:t>
      </w:r>
      <w:r>
        <w:rPr>
          <w:rFonts w:asciiTheme="majorHAnsi" w:hAnsiTheme="majorHAnsi"/>
          <w:sz w:val="22"/>
          <w:szCs w:val="22"/>
        </w:rPr>
        <w:t xml:space="preserve">de um milhão de libras inglesas - </w:t>
      </w:r>
      <w:r w:rsidRPr="00A85467">
        <w:rPr>
          <w:rFonts w:asciiTheme="majorHAnsi" w:hAnsiTheme="majorHAnsi"/>
          <w:sz w:val="22"/>
          <w:szCs w:val="22"/>
        </w:rPr>
        <w:t>tem como ponto de início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0006A">
        <w:rPr>
          <w:rFonts w:ascii="Calibri" w:hAnsi="Calibri"/>
          <w:b/>
          <w:bCs/>
          <w:i/>
          <w:sz w:val="22"/>
          <w:szCs w:val="22"/>
        </w:rPr>
        <w:t>Spacewar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, um dos primeiros jogos criados para computador, desenvolvido em 1961 por uma equipe de estudantes do MIT (Massachusetts </w:t>
      </w:r>
      <w:proofErr w:type="spellStart"/>
      <w:r w:rsidRPr="00A85467">
        <w:rPr>
          <w:rFonts w:asciiTheme="majorHAnsi" w:hAnsiTheme="majorHAnsi"/>
          <w:sz w:val="22"/>
          <w:szCs w:val="22"/>
        </w:rPr>
        <w:t>Institute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85467">
        <w:rPr>
          <w:rFonts w:asciiTheme="majorHAnsi" w:hAnsiTheme="majorHAnsi"/>
          <w:sz w:val="22"/>
          <w:szCs w:val="22"/>
        </w:rPr>
        <w:t>of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 Technology) num PDP-1, computador pioneiro que tinha o tamanho de quatro geladeiras. São </w:t>
      </w:r>
      <w:r>
        <w:rPr>
          <w:rFonts w:asciiTheme="majorHAnsi" w:hAnsiTheme="majorHAnsi"/>
          <w:sz w:val="22"/>
          <w:szCs w:val="22"/>
        </w:rPr>
        <w:t>cerca de</w:t>
      </w:r>
      <w:r w:rsidRPr="00A85467">
        <w:rPr>
          <w:rFonts w:asciiTheme="majorHAnsi" w:hAnsiTheme="majorHAnsi"/>
          <w:sz w:val="22"/>
          <w:szCs w:val="22"/>
        </w:rPr>
        <w:t xml:space="preserve"> seis décadas escrutinadas, em 13 seções temáticas distintas. Dentre os</w:t>
      </w:r>
      <w:r>
        <w:rPr>
          <w:rFonts w:asciiTheme="majorHAnsi" w:hAnsiTheme="majorHAnsi"/>
          <w:sz w:val="22"/>
          <w:szCs w:val="22"/>
        </w:rPr>
        <w:t xml:space="preserve"> mais de 150 jogos selecionados</w:t>
      </w:r>
      <w:r w:rsidRPr="00A85467">
        <w:rPr>
          <w:rFonts w:asciiTheme="majorHAnsi" w:hAnsiTheme="majorHAnsi"/>
          <w:sz w:val="22"/>
          <w:szCs w:val="22"/>
        </w:rPr>
        <w:t xml:space="preserve"> há uma </w:t>
      </w:r>
      <w:r>
        <w:rPr>
          <w:rFonts w:asciiTheme="majorHAnsi" w:hAnsiTheme="majorHAnsi"/>
          <w:sz w:val="22"/>
          <w:szCs w:val="22"/>
        </w:rPr>
        <w:t xml:space="preserve">longa </w:t>
      </w:r>
      <w:r w:rsidRPr="00A85467">
        <w:rPr>
          <w:rFonts w:asciiTheme="majorHAnsi" w:hAnsiTheme="majorHAnsi"/>
          <w:sz w:val="22"/>
          <w:szCs w:val="22"/>
        </w:rPr>
        <w:t>lista de destaques,</w:t>
      </w:r>
      <w:r>
        <w:rPr>
          <w:rFonts w:asciiTheme="majorHAnsi" w:hAnsiTheme="majorHAnsi"/>
          <w:sz w:val="22"/>
          <w:szCs w:val="22"/>
        </w:rPr>
        <w:t xml:space="preserve"> a começar pelo </w:t>
      </w:r>
      <w:proofErr w:type="spellStart"/>
      <w:r w:rsidRPr="00B0006A">
        <w:rPr>
          <w:rFonts w:ascii="Calibri" w:hAnsi="Calibri"/>
          <w:b/>
          <w:bCs/>
          <w:i/>
          <w:sz w:val="22"/>
          <w:szCs w:val="22"/>
        </w:rPr>
        <w:t>Pong</w:t>
      </w:r>
      <w:proofErr w:type="spellEnd"/>
      <w:r w:rsidRPr="00A85467">
        <w:rPr>
          <w:rFonts w:asciiTheme="majorHAnsi" w:hAnsiTheme="majorHAnsi"/>
          <w:sz w:val="22"/>
          <w:szCs w:val="22"/>
        </w:rPr>
        <w:t>, um jogo de tênis extremamente sintético, criado em 1972 e que rodou o mundo. Trata-se do pri</w:t>
      </w:r>
      <w:r>
        <w:rPr>
          <w:rFonts w:asciiTheme="majorHAnsi" w:hAnsiTheme="majorHAnsi"/>
          <w:sz w:val="22"/>
          <w:szCs w:val="22"/>
        </w:rPr>
        <w:t>meiro videogame a gerar lucro (</w:t>
      </w:r>
      <w:proofErr w:type="spellStart"/>
      <w:r w:rsidRPr="00B0006A">
        <w:rPr>
          <w:rFonts w:ascii="Calibri" w:hAnsi="Calibri"/>
          <w:b/>
          <w:bCs/>
          <w:i/>
          <w:sz w:val="22"/>
          <w:szCs w:val="22"/>
        </w:rPr>
        <w:t>Spacewar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 não rendeu nem um centavo a seus criadores) e que deu início a uma das megaempresas do setor, a </w:t>
      </w:r>
      <w:r w:rsidRPr="00DB15E8">
        <w:rPr>
          <w:rFonts w:ascii="Calibri" w:hAnsi="Calibri"/>
          <w:b/>
          <w:bCs/>
          <w:sz w:val="22"/>
          <w:szCs w:val="22"/>
        </w:rPr>
        <w:t>Atari</w:t>
      </w:r>
      <w:r w:rsidRPr="00A85467">
        <w:rPr>
          <w:rFonts w:asciiTheme="majorHAnsi" w:hAnsiTheme="majorHAnsi"/>
          <w:sz w:val="22"/>
          <w:szCs w:val="22"/>
        </w:rPr>
        <w:t xml:space="preserve">. Quatro anos após ter sido criada, a empresa foi vendida para a </w:t>
      </w:r>
      <w:r w:rsidRPr="00DB15E8">
        <w:rPr>
          <w:rFonts w:ascii="Calibri" w:hAnsi="Calibri"/>
          <w:b/>
          <w:bCs/>
          <w:sz w:val="22"/>
          <w:szCs w:val="22"/>
        </w:rPr>
        <w:t>Warner</w:t>
      </w:r>
      <w:r w:rsidRPr="00A85467">
        <w:rPr>
          <w:rFonts w:asciiTheme="majorHAnsi" w:hAnsiTheme="majorHAnsi"/>
          <w:sz w:val="22"/>
          <w:szCs w:val="22"/>
        </w:rPr>
        <w:t xml:space="preserve"> por US$ 28 milhões, sinalizando o início de um negócio extremamente próspero, assentado sobre o tripé da tecnologia, ciência e arte. </w:t>
      </w:r>
    </w:p>
    <w:p w14:paraId="49563570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0B4CD345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A85467">
        <w:rPr>
          <w:rFonts w:asciiTheme="majorHAnsi" w:hAnsiTheme="majorHAnsi"/>
          <w:sz w:val="22"/>
          <w:szCs w:val="22"/>
        </w:rPr>
        <w:t xml:space="preserve">Atualmente, o segmento é liderado por cinco grandes fabricantes. Além da </w:t>
      </w:r>
      <w:r w:rsidRPr="00DB15E8">
        <w:rPr>
          <w:rFonts w:ascii="Calibri" w:hAnsi="Calibri"/>
          <w:b/>
          <w:bCs/>
          <w:sz w:val="22"/>
          <w:szCs w:val="22"/>
        </w:rPr>
        <w:t>Atari</w:t>
      </w:r>
      <w:r w:rsidRPr="00A85467">
        <w:rPr>
          <w:rFonts w:asciiTheme="majorHAnsi" w:hAnsiTheme="majorHAnsi"/>
          <w:sz w:val="22"/>
          <w:szCs w:val="22"/>
        </w:rPr>
        <w:t xml:space="preserve"> estão na lista </w:t>
      </w:r>
      <w:r w:rsidRPr="00DB15E8">
        <w:rPr>
          <w:rFonts w:ascii="Calibri" w:hAnsi="Calibri"/>
          <w:b/>
          <w:bCs/>
          <w:sz w:val="22"/>
          <w:szCs w:val="22"/>
        </w:rPr>
        <w:t>Nintendo</w:t>
      </w:r>
      <w:r w:rsidRPr="00A85467">
        <w:rPr>
          <w:rFonts w:asciiTheme="majorHAnsi" w:hAnsiTheme="majorHAnsi"/>
          <w:sz w:val="22"/>
          <w:szCs w:val="22"/>
        </w:rPr>
        <w:t xml:space="preserve">, </w:t>
      </w:r>
      <w:r w:rsidRPr="00DB15E8">
        <w:rPr>
          <w:rFonts w:ascii="Calibri" w:hAnsi="Calibri"/>
          <w:b/>
          <w:bCs/>
          <w:sz w:val="22"/>
          <w:szCs w:val="22"/>
        </w:rPr>
        <w:t>Sega</w:t>
      </w:r>
      <w:r w:rsidRPr="00A85467">
        <w:rPr>
          <w:rFonts w:asciiTheme="majorHAnsi" w:hAnsiTheme="majorHAnsi"/>
          <w:sz w:val="22"/>
          <w:szCs w:val="22"/>
        </w:rPr>
        <w:t xml:space="preserve">, </w:t>
      </w:r>
      <w:r w:rsidRPr="00DB15E8">
        <w:rPr>
          <w:rFonts w:ascii="Calibri" w:hAnsi="Calibri"/>
          <w:b/>
          <w:bCs/>
          <w:sz w:val="22"/>
          <w:szCs w:val="22"/>
        </w:rPr>
        <w:t>Microsoft</w:t>
      </w:r>
      <w:r w:rsidRPr="00A85467">
        <w:rPr>
          <w:rFonts w:asciiTheme="majorHAnsi" w:hAnsiTheme="majorHAnsi"/>
          <w:sz w:val="22"/>
          <w:szCs w:val="22"/>
        </w:rPr>
        <w:t xml:space="preserve"> e </w:t>
      </w:r>
      <w:r w:rsidRPr="00DB15E8">
        <w:rPr>
          <w:rFonts w:ascii="Calibri" w:hAnsi="Calibri"/>
          <w:b/>
          <w:bCs/>
          <w:sz w:val="22"/>
          <w:szCs w:val="22"/>
        </w:rPr>
        <w:t>Sony</w:t>
      </w:r>
      <w:r w:rsidRPr="00A85467">
        <w:rPr>
          <w:rFonts w:asciiTheme="majorHAnsi" w:hAnsiTheme="majorHAnsi"/>
          <w:sz w:val="22"/>
          <w:szCs w:val="22"/>
        </w:rPr>
        <w:t xml:space="preserve">. O segmento é fortemente centralizado no Japão, América do Norte e Europa, mas tem demonstrado um forte crescimento em países como Coréia do Sul, Rússia, Índia e também Brasil. Segundo pesquisas divulgadas no ano passado, </w:t>
      </w:r>
      <w:r>
        <w:rPr>
          <w:rFonts w:asciiTheme="majorHAnsi" w:hAnsiTheme="majorHAnsi"/>
          <w:sz w:val="22"/>
          <w:szCs w:val="22"/>
        </w:rPr>
        <w:t xml:space="preserve">o Brasil </w:t>
      </w:r>
      <w:r w:rsidRPr="00A85467">
        <w:rPr>
          <w:rFonts w:asciiTheme="majorHAnsi" w:hAnsiTheme="majorHAnsi"/>
          <w:sz w:val="22"/>
          <w:szCs w:val="22"/>
        </w:rPr>
        <w:t>ocupava o 11.o lugar no ranking de maior mercado de games, movimentando R$ 900 milhões ao ano</w:t>
      </w:r>
      <w:r w:rsidRPr="00A85467">
        <w:rPr>
          <w:rStyle w:val="Refdenotaderodap"/>
          <w:rFonts w:asciiTheme="majorHAnsi" w:hAnsiTheme="majorHAnsi"/>
          <w:sz w:val="22"/>
          <w:szCs w:val="22"/>
        </w:rPr>
        <w:footnoteReference w:id="1"/>
      </w:r>
      <w:r w:rsidRPr="00A85467">
        <w:rPr>
          <w:rFonts w:asciiTheme="majorHAnsi" w:hAnsiTheme="majorHAnsi"/>
          <w:sz w:val="22"/>
          <w:szCs w:val="22"/>
        </w:rPr>
        <w:t>.</w:t>
      </w:r>
    </w:p>
    <w:p w14:paraId="1D51BFC8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64371A98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</w:t>
      </w:r>
      <w:r w:rsidRPr="00A85467">
        <w:rPr>
          <w:rFonts w:asciiTheme="majorHAnsi" w:hAnsiTheme="majorHAnsi"/>
          <w:sz w:val="22"/>
          <w:szCs w:val="22"/>
        </w:rPr>
        <w:t xml:space="preserve"> campo de jogos eletrônicos é extremamente vasto e apresentou ao longo do tempo uma série de mudanças radicais. Se no início as criações eram para grandes estruturas, chamadas de </w:t>
      </w:r>
      <w:proofErr w:type="spellStart"/>
      <w:r w:rsidRPr="008506DC">
        <w:rPr>
          <w:rFonts w:asciiTheme="majorHAnsi" w:hAnsiTheme="majorHAnsi"/>
          <w:i/>
          <w:sz w:val="22"/>
          <w:szCs w:val="22"/>
        </w:rPr>
        <w:t>arcades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 (estruturas próprias, acionadas por meio de moedas e conhecidas como fliperamas no Brasil), pouco a pouco as criações foram se adaptando aos espaços domésticos (com o desenvolvimento dos sistemas portáteis), às linguagens de computador, e finalmente à tela do celular. Apesar dessas diferenças importantes de suporte, é possível organizá-los em três grandes blocos. O primeiro deles seria composto pelos jogos de pensamento, que dialogam com aqueles existentes antes da eletrônica, como as cartas, os jogos de tabuleiro e os quebra-cabeças, como o </w:t>
      </w:r>
      <w:proofErr w:type="spellStart"/>
      <w:r w:rsidRPr="0051152D">
        <w:rPr>
          <w:rFonts w:ascii="Calibri" w:hAnsi="Calibri"/>
          <w:b/>
          <w:bCs/>
          <w:i/>
          <w:sz w:val="22"/>
          <w:szCs w:val="22"/>
        </w:rPr>
        <w:t>Tetris</w:t>
      </w:r>
      <w:proofErr w:type="spellEnd"/>
      <w:r w:rsidRPr="002A017C">
        <w:rPr>
          <w:rFonts w:ascii="Calibri" w:hAnsi="Calibri"/>
          <w:b/>
          <w:bCs/>
          <w:sz w:val="22"/>
          <w:szCs w:val="22"/>
        </w:rPr>
        <w:t>,</w:t>
      </w:r>
      <w:r w:rsidRPr="00A85467">
        <w:rPr>
          <w:rFonts w:asciiTheme="majorHAnsi" w:hAnsiTheme="majorHAnsi"/>
          <w:sz w:val="22"/>
          <w:szCs w:val="22"/>
        </w:rPr>
        <w:t xml:space="preserve"> o jogo mais vendido da história dos games, ou o </w:t>
      </w:r>
      <w:proofErr w:type="spellStart"/>
      <w:r w:rsidRPr="0051152D">
        <w:rPr>
          <w:rFonts w:ascii="Calibri" w:hAnsi="Calibri"/>
          <w:b/>
          <w:bCs/>
          <w:i/>
          <w:sz w:val="22"/>
          <w:szCs w:val="22"/>
        </w:rPr>
        <w:t>Pacman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. No segundo grupo estão os jogos de ação (como os games de guerra ou de esporte, como o </w:t>
      </w:r>
      <w:r w:rsidRPr="00F630BF">
        <w:rPr>
          <w:rFonts w:ascii="Calibri" w:hAnsi="Calibri"/>
          <w:b/>
          <w:bCs/>
          <w:i/>
          <w:sz w:val="22"/>
          <w:szCs w:val="22"/>
        </w:rPr>
        <w:t>Wii</w:t>
      </w:r>
      <w:r w:rsidRPr="00A85467">
        <w:rPr>
          <w:rFonts w:asciiTheme="majorHAnsi" w:hAnsiTheme="majorHAnsi"/>
          <w:sz w:val="22"/>
          <w:szCs w:val="22"/>
        </w:rPr>
        <w:t xml:space="preserve">). Finalmente o terceiro bloco contempla os jogos de simulação (os games da série </w:t>
      </w:r>
      <w:r w:rsidRPr="00BF2D8E">
        <w:rPr>
          <w:rFonts w:ascii="Calibri" w:hAnsi="Calibri"/>
          <w:b/>
          <w:bCs/>
          <w:i/>
          <w:sz w:val="22"/>
          <w:szCs w:val="22"/>
        </w:rPr>
        <w:t xml:space="preserve">The </w:t>
      </w:r>
      <w:proofErr w:type="spellStart"/>
      <w:r w:rsidRPr="00BF2D8E">
        <w:rPr>
          <w:rFonts w:ascii="Calibri" w:hAnsi="Calibri"/>
          <w:b/>
          <w:bCs/>
          <w:i/>
          <w:sz w:val="22"/>
          <w:szCs w:val="22"/>
        </w:rPr>
        <w:t>Sims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 ou o crescente mercado de jogos coletivos, disputados por dezenas de pessoas on-line).</w:t>
      </w:r>
    </w:p>
    <w:p w14:paraId="3104293D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07AED1D8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A85467">
        <w:rPr>
          <w:rFonts w:asciiTheme="majorHAnsi" w:hAnsiTheme="majorHAnsi"/>
          <w:sz w:val="22"/>
          <w:szCs w:val="22"/>
        </w:rPr>
        <w:t xml:space="preserve">Se não bastasse a ampla exposição dos jogos – atrativo suficiente tanto para as novas gerações quanto para o público adulto e sênior, interessado em redescobrir seus velhos passatempos e apresentá-los a filhos e netos –, a mostra organizada pelo </w:t>
      </w:r>
      <w:proofErr w:type="spellStart"/>
      <w:r w:rsidRPr="00F630BF">
        <w:rPr>
          <w:rFonts w:ascii="Calibri" w:hAnsi="Calibri"/>
          <w:b/>
          <w:bCs/>
          <w:sz w:val="22"/>
          <w:szCs w:val="22"/>
        </w:rPr>
        <w:t>Barbican</w:t>
      </w:r>
      <w:proofErr w:type="spellEnd"/>
      <w:r w:rsidRPr="00F630BF">
        <w:rPr>
          <w:rFonts w:ascii="Calibri" w:hAnsi="Calibri"/>
          <w:b/>
          <w:bCs/>
          <w:sz w:val="22"/>
          <w:szCs w:val="22"/>
        </w:rPr>
        <w:t xml:space="preserve"> Centre</w:t>
      </w:r>
      <w:r w:rsidRPr="00A85467">
        <w:rPr>
          <w:rFonts w:asciiTheme="majorHAnsi" w:hAnsiTheme="majorHAnsi"/>
          <w:sz w:val="22"/>
          <w:szCs w:val="22"/>
        </w:rPr>
        <w:t xml:space="preserve"> também amplia os horizontes de investigação da cultura dos games, explorando diferentes aspectos desse universo a partir de diferentes pontos de vista, em termos econômicos, sociais e tecnológicos.</w:t>
      </w:r>
    </w:p>
    <w:p w14:paraId="58B50649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3BF0EEA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A85467">
        <w:rPr>
          <w:rFonts w:asciiTheme="majorHAnsi" w:hAnsiTheme="majorHAnsi"/>
          <w:sz w:val="22"/>
          <w:szCs w:val="22"/>
        </w:rPr>
        <w:t xml:space="preserve">Nos vários segmentos que compõem a mostra, vão sendo apresentados ao público dados sobre as implicações industriais, criativas e comerciais desse </w:t>
      </w:r>
      <w:r>
        <w:rPr>
          <w:rFonts w:asciiTheme="majorHAnsi" w:hAnsiTheme="majorHAnsi"/>
          <w:sz w:val="22"/>
          <w:szCs w:val="22"/>
        </w:rPr>
        <w:t>fenômeno de massa</w:t>
      </w:r>
      <w:r w:rsidRPr="00A85467">
        <w:rPr>
          <w:rFonts w:asciiTheme="majorHAnsi" w:hAnsiTheme="majorHAnsi"/>
          <w:sz w:val="22"/>
          <w:szCs w:val="22"/>
        </w:rPr>
        <w:t xml:space="preserve">; sua geopolítica; os personagens que fizeram história; a crescente importância dos jogos infantis e seu potencial uso como ferramenta educativa; os vínculos inquestionáveis entre os games e outras áreas da produção cultural, como a música e o cinema; a mídia especializada; e finalmente os enormes avanços tecnológicos que continuam sendo feitos, como o uso cada vez mais sofisticado da tecnologia 3D, a captação mais sensível dos movimentos pela tela ou por sensores e a constatação de que a realidade virtual é algo cada vez mais próximo. Daí a necessidade permanente de atualizar a exposição, agregando a ela inovações como a </w:t>
      </w:r>
      <w:r w:rsidRPr="00F630BF">
        <w:rPr>
          <w:rFonts w:ascii="Calibri" w:hAnsi="Calibri"/>
          <w:b/>
          <w:bCs/>
          <w:sz w:val="22"/>
          <w:szCs w:val="22"/>
        </w:rPr>
        <w:t xml:space="preserve">Virtual </w:t>
      </w:r>
      <w:proofErr w:type="spellStart"/>
      <w:r w:rsidRPr="00F630BF">
        <w:rPr>
          <w:rFonts w:ascii="Calibri" w:hAnsi="Calibri"/>
          <w:b/>
          <w:bCs/>
          <w:sz w:val="22"/>
          <w:szCs w:val="22"/>
        </w:rPr>
        <w:t>Sphere</w:t>
      </w:r>
      <w:proofErr w:type="spellEnd"/>
      <w:r w:rsidRPr="00A85467">
        <w:rPr>
          <w:rFonts w:asciiTheme="majorHAnsi" w:hAnsiTheme="majorHAnsi"/>
          <w:sz w:val="22"/>
          <w:szCs w:val="22"/>
        </w:rPr>
        <w:t>.</w:t>
      </w:r>
    </w:p>
    <w:p w14:paraId="43ABEC2B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58FFA33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A85467">
        <w:rPr>
          <w:rFonts w:asciiTheme="majorHAnsi" w:hAnsiTheme="majorHAnsi"/>
          <w:sz w:val="22"/>
          <w:szCs w:val="22"/>
        </w:rPr>
        <w:t xml:space="preserve">Nesse percurso destacam-se figuras fictícias ou reais, personagens conhecidos mundialmente ou criadores, cujos nomes são </w:t>
      </w:r>
      <w:r>
        <w:rPr>
          <w:rFonts w:asciiTheme="majorHAnsi" w:hAnsiTheme="majorHAnsi"/>
          <w:sz w:val="22"/>
          <w:szCs w:val="22"/>
        </w:rPr>
        <w:t>familiares</w:t>
      </w:r>
      <w:r w:rsidRPr="00A85467">
        <w:rPr>
          <w:rFonts w:asciiTheme="majorHAnsi" w:hAnsiTheme="majorHAnsi"/>
          <w:sz w:val="22"/>
          <w:szCs w:val="22"/>
        </w:rPr>
        <w:t xml:space="preserve"> apenas </w:t>
      </w:r>
      <w:r>
        <w:rPr>
          <w:rFonts w:asciiTheme="majorHAnsi" w:hAnsiTheme="majorHAnsi"/>
          <w:sz w:val="22"/>
          <w:szCs w:val="22"/>
        </w:rPr>
        <w:t xml:space="preserve">para os </w:t>
      </w:r>
      <w:r w:rsidRPr="00A85467">
        <w:rPr>
          <w:rFonts w:asciiTheme="majorHAnsi" w:hAnsiTheme="majorHAnsi"/>
          <w:sz w:val="22"/>
          <w:szCs w:val="22"/>
        </w:rPr>
        <w:t xml:space="preserve">que dominam os bastidores do universo dos games. Quem não conhece </w:t>
      </w:r>
      <w:proofErr w:type="spellStart"/>
      <w:r w:rsidRPr="00FB5E78">
        <w:rPr>
          <w:rFonts w:ascii="Calibri" w:hAnsi="Calibri"/>
          <w:b/>
          <w:bCs/>
          <w:i/>
          <w:iCs/>
          <w:sz w:val="22"/>
          <w:szCs w:val="22"/>
        </w:rPr>
        <w:t>Super</w:t>
      </w:r>
      <w:proofErr w:type="spellEnd"/>
      <w:r w:rsidRPr="00FB5E78">
        <w:rPr>
          <w:rFonts w:ascii="Calibri" w:hAnsi="Calibri"/>
          <w:b/>
          <w:bCs/>
          <w:i/>
          <w:iCs/>
          <w:sz w:val="22"/>
          <w:szCs w:val="22"/>
        </w:rPr>
        <w:t xml:space="preserve"> Mario</w:t>
      </w:r>
      <w:r w:rsidRPr="00A85467">
        <w:rPr>
          <w:rFonts w:asciiTheme="majorHAnsi" w:hAnsiTheme="majorHAnsi"/>
          <w:sz w:val="22"/>
          <w:szCs w:val="22"/>
        </w:rPr>
        <w:t xml:space="preserve">, o encanador italiano criado pela Nintendo em 1985 e que chegou a ser usado pelo Japão na cerimônia de encerramento das últimas Olimpíadas como símbolo nacional? Mas nem todos sabem que o jogo foi criado por </w:t>
      </w:r>
      <w:proofErr w:type="spellStart"/>
      <w:r w:rsidRPr="00FB5E78">
        <w:rPr>
          <w:rFonts w:ascii="Calibri" w:hAnsi="Calibri"/>
          <w:b/>
          <w:bCs/>
          <w:sz w:val="22"/>
          <w:szCs w:val="22"/>
        </w:rPr>
        <w:t>Shigeru</w:t>
      </w:r>
      <w:proofErr w:type="spellEnd"/>
      <w:r w:rsidRPr="00FB5E7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FB5E78">
        <w:rPr>
          <w:rFonts w:ascii="Calibri" w:hAnsi="Calibri"/>
          <w:b/>
          <w:bCs/>
          <w:sz w:val="22"/>
          <w:szCs w:val="22"/>
        </w:rPr>
        <w:t>Miyamoto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, um dos grandes designers de games, responsável também por títulos como </w:t>
      </w:r>
      <w:proofErr w:type="spellStart"/>
      <w:r w:rsidRPr="00FB5E78">
        <w:rPr>
          <w:rFonts w:ascii="Calibri" w:hAnsi="Calibri"/>
          <w:b/>
          <w:bCs/>
          <w:i/>
          <w:iCs/>
          <w:sz w:val="22"/>
          <w:szCs w:val="22"/>
        </w:rPr>
        <w:t>Donkey</w:t>
      </w:r>
      <w:proofErr w:type="spellEnd"/>
      <w:r w:rsidRPr="00FB5E78">
        <w:rPr>
          <w:rFonts w:ascii="Calibri" w:hAnsi="Calibri"/>
          <w:b/>
          <w:bCs/>
          <w:i/>
          <w:iCs/>
          <w:sz w:val="22"/>
          <w:szCs w:val="22"/>
        </w:rPr>
        <w:t xml:space="preserve"> Kong, The </w:t>
      </w:r>
      <w:proofErr w:type="spellStart"/>
      <w:r w:rsidRPr="00FB5E78">
        <w:rPr>
          <w:rFonts w:ascii="Calibri" w:hAnsi="Calibri"/>
          <w:b/>
          <w:bCs/>
          <w:i/>
          <w:iCs/>
          <w:sz w:val="22"/>
          <w:szCs w:val="22"/>
        </w:rPr>
        <w:t>Legend</w:t>
      </w:r>
      <w:proofErr w:type="spellEnd"/>
      <w:r w:rsidRPr="00FB5E78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FB5E78">
        <w:rPr>
          <w:rFonts w:ascii="Calibri" w:hAnsi="Calibri"/>
          <w:b/>
          <w:bCs/>
          <w:i/>
          <w:iCs/>
          <w:sz w:val="22"/>
          <w:szCs w:val="22"/>
        </w:rPr>
        <w:t>of</w:t>
      </w:r>
      <w:proofErr w:type="spellEnd"/>
      <w:r w:rsidRPr="00FB5E78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FB5E78">
        <w:rPr>
          <w:rFonts w:ascii="Calibri" w:hAnsi="Calibri"/>
          <w:b/>
          <w:bCs/>
          <w:i/>
          <w:iCs/>
          <w:sz w:val="22"/>
          <w:szCs w:val="22"/>
        </w:rPr>
        <w:t>Zelda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 e a série </w:t>
      </w:r>
      <w:r w:rsidRPr="00FB5E78">
        <w:rPr>
          <w:rFonts w:ascii="Calibri" w:hAnsi="Calibri"/>
          <w:b/>
          <w:bCs/>
          <w:i/>
          <w:iCs/>
          <w:sz w:val="22"/>
          <w:szCs w:val="22"/>
        </w:rPr>
        <w:t>Wii.</w:t>
      </w:r>
      <w:r w:rsidRPr="00A85467">
        <w:rPr>
          <w:rFonts w:asciiTheme="majorHAnsi" w:hAnsiTheme="majorHAnsi"/>
          <w:sz w:val="22"/>
          <w:szCs w:val="22"/>
        </w:rPr>
        <w:t xml:space="preserve"> Outro designer de destaque, </w:t>
      </w:r>
      <w:proofErr w:type="spellStart"/>
      <w:r w:rsidRPr="00FB5E78">
        <w:rPr>
          <w:rFonts w:ascii="Calibri" w:hAnsi="Calibri"/>
          <w:b/>
          <w:bCs/>
          <w:sz w:val="22"/>
          <w:szCs w:val="22"/>
        </w:rPr>
        <w:t>Yuji</w:t>
      </w:r>
      <w:proofErr w:type="spellEnd"/>
      <w:r w:rsidRPr="00FB5E7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FB5E78">
        <w:rPr>
          <w:rFonts w:ascii="Calibri" w:hAnsi="Calibri"/>
          <w:b/>
          <w:bCs/>
          <w:sz w:val="22"/>
          <w:szCs w:val="22"/>
        </w:rPr>
        <w:t>Naka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 (criador de </w:t>
      </w:r>
      <w:proofErr w:type="spellStart"/>
      <w:r w:rsidRPr="00FB5E78">
        <w:rPr>
          <w:rFonts w:ascii="Calibri" w:hAnsi="Calibri"/>
          <w:b/>
          <w:bCs/>
          <w:i/>
          <w:iCs/>
          <w:sz w:val="22"/>
          <w:szCs w:val="22"/>
        </w:rPr>
        <w:t>Sonic</w:t>
      </w:r>
      <w:proofErr w:type="spellEnd"/>
      <w:r w:rsidRPr="00FB5E78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FB5E78">
        <w:rPr>
          <w:rFonts w:ascii="Calibri" w:hAnsi="Calibri"/>
          <w:b/>
          <w:bCs/>
          <w:i/>
          <w:iCs/>
          <w:sz w:val="22"/>
          <w:szCs w:val="22"/>
        </w:rPr>
        <w:t>the</w:t>
      </w:r>
      <w:proofErr w:type="spellEnd"/>
      <w:r w:rsidRPr="00FB5E78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FB5E78">
        <w:rPr>
          <w:rFonts w:ascii="Calibri" w:hAnsi="Calibri"/>
          <w:b/>
          <w:bCs/>
          <w:i/>
          <w:iCs/>
          <w:sz w:val="22"/>
          <w:szCs w:val="22"/>
        </w:rPr>
        <w:t>Hedgehog</w:t>
      </w:r>
      <w:proofErr w:type="spellEnd"/>
      <w:r w:rsidRPr="00A85467">
        <w:rPr>
          <w:rFonts w:asciiTheme="majorHAnsi" w:hAnsiTheme="majorHAnsi"/>
          <w:sz w:val="22"/>
          <w:szCs w:val="22"/>
        </w:rPr>
        <w:t>) também tem seu trabalho detalhado na mostra, que permite ver de perto os bastidores dessas criações.</w:t>
      </w:r>
    </w:p>
    <w:p w14:paraId="6F7E426D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59C74FE0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A85467">
        <w:rPr>
          <w:rFonts w:asciiTheme="majorHAnsi" w:hAnsiTheme="majorHAnsi"/>
          <w:sz w:val="22"/>
          <w:szCs w:val="22"/>
        </w:rPr>
        <w:t xml:space="preserve">No segmento que detalha as criações sonoras ganha relevo o trabalho de dois criadores: </w:t>
      </w:r>
      <w:r w:rsidRPr="003937BA">
        <w:rPr>
          <w:rFonts w:ascii="Calibri" w:hAnsi="Calibri"/>
          <w:b/>
          <w:bCs/>
          <w:sz w:val="22"/>
          <w:szCs w:val="22"/>
        </w:rPr>
        <w:t>Koichi Sugiyama</w:t>
      </w:r>
      <w:r w:rsidRPr="00A85467">
        <w:rPr>
          <w:rFonts w:asciiTheme="majorHAnsi" w:hAnsiTheme="majorHAnsi"/>
          <w:sz w:val="22"/>
          <w:szCs w:val="22"/>
        </w:rPr>
        <w:t xml:space="preserve"> (que trabalhou nos jogos do </w:t>
      </w:r>
      <w:proofErr w:type="spellStart"/>
      <w:r w:rsidRPr="003937BA">
        <w:rPr>
          <w:rFonts w:ascii="Calibri" w:hAnsi="Calibri"/>
          <w:b/>
          <w:bCs/>
          <w:i/>
          <w:iCs/>
          <w:sz w:val="22"/>
          <w:szCs w:val="22"/>
        </w:rPr>
        <w:t>Dragonquest</w:t>
      </w:r>
      <w:proofErr w:type="spellEnd"/>
      <w:r w:rsidRPr="003937BA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A85467">
        <w:rPr>
          <w:rFonts w:asciiTheme="majorHAnsi" w:hAnsiTheme="majorHAnsi"/>
          <w:sz w:val="22"/>
          <w:szCs w:val="22"/>
        </w:rPr>
        <w:t xml:space="preserve">com a Orquestra Filarmônica de Londres) e </w:t>
      </w:r>
      <w:r w:rsidRPr="003937BA">
        <w:rPr>
          <w:rFonts w:ascii="Calibri" w:hAnsi="Calibri"/>
          <w:b/>
          <w:bCs/>
          <w:sz w:val="22"/>
          <w:szCs w:val="22"/>
        </w:rPr>
        <w:t>Richard Jacques</w:t>
      </w:r>
      <w:r w:rsidRPr="00A85467">
        <w:rPr>
          <w:rFonts w:asciiTheme="majorHAnsi" w:hAnsiTheme="majorHAnsi"/>
          <w:sz w:val="22"/>
          <w:szCs w:val="22"/>
        </w:rPr>
        <w:t xml:space="preserve">, compositor britânico que criou uma série de trabalhos para a Sega (particularmente para os jogos da série </w:t>
      </w:r>
      <w:proofErr w:type="spellStart"/>
      <w:r w:rsidRPr="003937BA">
        <w:rPr>
          <w:rFonts w:ascii="Calibri" w:hAnsi="Calibri"/>
          <w:b/>
          <w:bCs/>
          <w:i/>
          <w:iCs/>
          <w:sz w:val="22"/>
          <w:szCs w:val="22"/>
        </w:rPr>
        <w:t>Sonic</w:t>
      </w:r>
      <w:proofErr w:type="spellEnd"/>
      <w:r w:rsidRPr="003937BA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3937BA">
        <w:rPr>
          <w:rFonts w:ascii="Calibri" w:hAnsi="Calibri"/>
          <w:b/>
          <w:bCs/>
          <w:i/>
          <w:iCs/>
          <w:sz w:val="22"/>
          <w:szCs w:val="22"/>
        </w:rPr>
        <w:t>the</w:t>
      </w:r>
      <w:proofErr w:type="spellEnd"/>
      <w:r w:rsidRPr="003937BA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3937BA">
        <w:rPr>
          <w:rFonts w:ascii="Calibri" w:hAnsi="Calibri"/>
          <w:b/>
          <w:bCs/>
          <w:i/>
          <w:iCs/>
          <w:sz w:val="22"/>
          <w:szCs w:val="22"/>
        </w:rPr>
        <w:t>Hedgehog</w:t>
      </w:r>
      <w:proofErr w:type="spellEnd"/>
      <w:r w:rsidRPr="00A85467">
        <w:rPr>
          <w:rFonts w:asciiTheme="majorHAnsi" w:hAnsiTheme="majorHAnsi"/>
          <w:sz w:val="22"/>
          <w:szCs w:val="22"/>
        </w:rPr>
        <w:t>), mas também desenvolve uma série de trabalhos para o cinema e para a televisão, confirmando como são fluídas as fronteiras entre esses diferentes campos. É inquestionável como, desde a década de 1970, os games se inspiram no cinema em busca de estilos e histórias. No sentido contrário, o cinema muitas vezes vai buscar inspiração no universo dos jogo</w:t>
      </w:r>
      <w:r>
        <w:rPr>
          <w:rFonts w:asciiTheme="majorHAnsi" w:hAnsiTheme="majorHAnsi"/>
          <w:sz w:val="22"/>
          <w:szCs w:val="22"/>
        </w:rPr>
        <w:t xml:space="preserve">s, como por exemplo no caso de </w:t>
      </w:r>
      <w:proofErr w:type="spellStart"/>
      <w:r w:rsidRPr="009F5BCE">
        <w:rPr>
          <w:rFonts w:ascii="Calibri" w:hAnsi="Calibri"/>
          <w:b/>
          <w:bCs/>
          <w:i/>
          <w:iCs/>
          <w:sz w:val="22"/>
          <w:szCs w:val="22"/>
        </w:rPr>
        <w:t>Tomb</w:t>
      </w:r>
      <w:proofErr w:type="spellEnd"/>
      <w:r w:rsidRPr="009F5BCE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9F5BCE">
        <w:rPr>
          <w:rFonts w:ascii="Calibri" w:hAnsi="Calibri"/>
          <w:b/>
          <w:bCs/>
          <w:i/>
          <w:iCs/>
          <w:sz w:val="22"/>
          <w:szCs w:val="22"/>
        </w:rPr>
        <w:t>Raider</w:t>
      </w:r>
      <w:proofErr w:type="spellEnd"/>
      <w:r w:rsidRPr="00A85467">
        <w:rPr>
          <w:rFonts w:asciiTheme="majorHAnsi" w:hAnsiTheme="majorHAnsi"/>
          <w:sz w:val="22"/>
          <w:szCs w:val="22"/>
        </w:rPr>
        <w:t xml:space="preserve"> (2001), título derivado do game </w:t>
      </w:r>
      <w:r w:rsidRPr="009F5BCE">
        <w:rPr>
          <w:rFonts w:ascii="Calibri" w:hAnsi="Calibri"/>
          <w:b/>
          <w:bCs/>
          <w:i/>
          <w:iCs/>
          <w:sz w:val="22"/>
          <w:szCs w:val="22"/>
        </w:rPr>
        <w:t xml:space="preserve">Lara </w:t>
      </w:r>
      <w:proofErr w:type="spellStart"/>
      <w:r w:rsidRPr="009F5BCE">
        <w:rPr>
          <w:rFonts w:ascii="Calibri" w:hAnsi="Calibri"/>
          <w:b/>
          <w:bCs/>
          <w:i/>
          <w:iCs/>
          <w:sz w:val="22"/>
          <w:szCs w:val="22"/>
        </w:rPr>
        <w:t>Croft</w:t>
      </w:r>
      <w:proofErr w:type="spellEnd"/>
      <w:r w:rsidRPr="009F5BCE">
        <w:rPr>
          <w:rFonts w:ascii="Calibri" w:hAnsi="Calibri"/>
          <w:b/>
          <w:bCs/>
          <w:i/>
          <w:iCs/>
          <w:sz w:val="22"/>
          <w:szCs w:val="22"/>
        </w:rPr>
        <w:t>.</w:t>
      </w:r>
    </w:p>
    <w:p w14:paraId="4E501D04" w14:textId="77777777" w:rsidR="00BE589D" w:rsidRPr="00A8546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7275F7B8" w14:textId="77777777" w:rsidR="00BE589D" w:rsidRPr="00BE1E37" w:rsidRDefault="00BE589D" w:rsidP="00BE589D">
      <w:pPr>
        <w:spacing w:after="0" w:line="240" w:lineRule="auto"/>
        <w:jc w:val="both"/>
        <w:rPr>
          <w:rFonts w:asciiTheme="majorHAnsi" w:eastAsia="Times New Roman" w:hAnsiTheme="majorHAnsi"/>
          <w:sz w:val="22"/>
          <w:szCs w:val="22"/>
          <w:lang w:eastAsia="pt-BR"/>
        </w:rPr>
      </w:pPr>
      <w:r w:rsidRPr="00BE1E37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>Um embrião da e</w:t>
      </w:r>
      <w:r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xposição atual foi apresentado no Museu da Imagem e do Som de São Paulo </w:t>
      </w:r>
      <w:r w:rsidRPr="00BE1E37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em 2011. </w:t>
      </w:r>
      <w:r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Batizada originalmente de </w:t>
      </w:r>
      <w:r w:rsidRPr="001C6E2C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lang w:eastAsia="pt-BR"/>
        </w:rPr>
        <w:t xml:space="preserve">Game </w:t>
      </w:r>
      <w:proofErr w:type="spellStart"/>
      <w:r w:rsidRPr="001C6E2C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lang w:eastAsia="pt-BR"/>
        </w:rPr>
        <w:t>On</w:t>
      </w:r>
      <w:proofErr w:type="spellEnd"/>
      <w:r w:rsidRPr="001C6E2C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lang w:eastAsia="pt-BR"/>
        </w:rPr>
        <w:t>,</w:t>
      </w:r>
      <w:r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 mais tarde o evento incorporou o número </w:t>
      </w:r>
      <w:r w:rsidRPr="001C6E2C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lang w:eastAsia="pt-BR"/>
        </w:rPr>
        <w:t>2.0</w:t>
      </w:r>
      <w:r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 ao título para dar conta das atualizações tecnológicas surgidas ao longo do período em que excursionou pelo mundo. </w:t>
      </w:r>
      <w:r w:rsidRPr="00BE1E37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A </w:t>
      </w:r>
      <w:r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>edição que desembarca agora no país chega</w:t>
      </w:r>
      <w:r w:rsidRPr="00BE1E37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 em versão ampliada, com ga</w:t>
      </w:r>
      <w:r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>mes de última geração e inclui</w:t>
      </w:r>
      <w:r w:rsidRPr="00BE1E37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 jogos produzidos no Brasil.</w:t>
      </w:r>
    </w:p>
    <w:p w14:paraId="32AD42CF" w14:textId="77777777" w:rsidR="00BE589D" w:rsidRPr="00930547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BE8C781" w14:textId="77777777" w:rsidR="00BE589D" w:rsidRPr="00930547" w:rsidRDefault="00BE589D" w:rsidP="00BE589D">
      <w:pPr>
        <w:spacing w:after="0" w:line="240" w:lineRule="auto"/>
        <w:jc w:val="both"/>
        <w:rPr>
          <w:rFonts w:asciiTheme="majorHAnsi" w:eastAsia="Times New Roman" w:hAnsiTheme="majorHAnsi"/>
          <w:lang w:eastAsia="pt-BR"/>
        </w:rPr>
      </w:pPr>
      <w:r w:rsidRPr="00930547">
        <w:rPr>
          <w:rFonts w:asciiTheme="majorHAnsi" w:eastAsia="Times New Roman" w:hAnsiTheme="majorHAnsi"/>
          <w:iCs/>
          <w:color w:val="000000"/>
          <w:sz w:val="22"/>
          <w:szCs w:val="22"/>
          <w:lang w:eastAsia="pt-BR"/>
        </w:rPr>
        <w:t>“Acreditamos muito no potencial dessa exposição. Ao apresen</w:t>
      </w:r>
      <w:r>
        <w:rPr>
          <w:rFonts w:asciiTheme="majorHAnsi" w:eastAsia="Times New Roman" w:hAnsiTheme="majorHAnsi"/>
          <w:iCs/>
          <w:color w:val="000000"/>
          <w:sz w:val="22"/>
          <w:szCs w:val="22"/>
          <w:lang w:eastAsia="pt-BR"/>
        </w:rPr>
        <w:t xml:space="preserve">tar a história do videogame de </w:t>
      </w:r>
      <w:r w:rsidRPr="00930547">
        <w:rPr>
          <w:rFonts w:asciiTheme="majorHAnsi" w:eastAsia="Times New Roman" w:hAnsiTheme="majorHAnsi"/>
          <w:iCs/>
          <w:color w:val="000000"/>
          <w:sz w:val="22"/>
          <w:szCs w:val="22"/>
          <w:lang w:eastAsia="pt-BR"/>
        </w:rPr>
        <w:t xml:space="preserve">forma lúdica e divertida, ela integra diferentes gerações e proporciona um excelente programa para toda a família”, explica </w:t>
      </w:r>
      <w:r w:rsidRPr="00930547">
        <w:rPr>
          <w:rFonts w:ascii="Calibri" w:eastAsia="Times New Roman" w:hAnsi="Calibri"/>
          <w:b/>
          <w:bCs/>
          <w:color w:val="000000"/>
          <w:sz w:val="22"/>
          <w:szCs w:val="22"/>
          <w:lang w:eastAsia="pt-BR"/>
        </w:rPr>
        <w:t xml:space="preserve">Cinthia </w:t>
      </w:r>
      <w:proofErr w:type="spellStart"/>
      <w:r w:rsidRPr="00930547">
        <w:rPr>
          <w:rFonts w:ascii="Calibri" w:eastAsia="Times New Roman" w:hAnsi="Calibri"/>
          <w:b/>
          <w:bCs/>
          <w:color w:val="000000"/>
          <w:sz w:val="22"/>
          <w:szCs w:val="22"/>
          <w:lang w:eastAsia="pt-BR"/>
        </w:rPr>
        <w:t>Spanó</w:t>
      </w:r>
      <w:proofErr w:type="spellEnd"/>
      <w:r w:rsidRPr="00930547">
        <w:rPr>
          <w:rFonts w:asciiTheme="majorHAnsi" w:eastAsia="Times New Roman" w:hAnsiTheme="majorHAnsi"/>
          <w:iCs/>
          <w:color w:val="000000"/>
          <w:sz w:val="22"/>
          <w:szCs w:val="22"/>
          <w:lang w:eastAsia="pt-BR"/>
        </w:rPr>
        <w:t xml:space="preserve">, gerente de Comunicação Corporativa e Sustentabilidade da </w:t>
      </w:r>
      <w:proofErr w:type="spellStart"/>
      <w:r w:rsidRPr="00930547">
        <w:rPr>
          <w:rFonts w:ascii="Calibri" w:eastAsia="Times New Roman" w:hAnsi="Calibri"/>
          <w:b/>
          <w:bCs/>
          <w:color w:val="000000"/>
          <w:sz w:val="22"/>
          <w:szCs w:val="22"/>
          <w:lang w:eastAsia="pt-BR"/>
        </w:rPr>
        <w:t>Brasilprev</w:t>
      </w:r>
      <w:proofErr w:type="spellEnd"/>
      <w:r w:rsidRPr="00930547">
        <w:rPr>
          <w:rFonts w:asciiTheme="majorHAnsi" w:eastAsia="Times New Roman" w:hAnsiTheme="majorHAnsi"/>
          <w:iCs/>
          <w:color w:val="000000"/>
          <w:sz w:val="22"/>
          <w:szCs w:val="22"/>
          <w:lang w:eastAsia="pt-BR"/>
        </w:rPr>
        <w:t>.</w:t>
      </w:r>
    </w:p>
    <w:p w14:paraId="6C3A8491" w14:textId="77777777" w:rsidR="00BE589D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05A203FB" w14:textId="3541191C" w:rsidR="00D551B4" w:rsidRDefault="00D551B4" w:rsidP="00D551B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As visitas à exposição terão horários pré-agendados e serão realizadas em </w:t>
      </w:r>
      <w:r w:rsidR="003B4F8E">
        <w:rPr>
          <w:rFonts w:asciiTheme="majorHAnsi" w:hAnsiTheme="majorHAnsi"/>
          <w:sz w:val="22"/>
          <w:szCs w:val="22"/>
        </w:rPr>
        <w:t>seis</w:t>
      </w:r>
      <w:r>
        <w:rPr>
          <w:rFonts w:asciiTheme="majorHAnsi" w:hAnsiTheme="majorHAnsi"/>
          <w:sz w:val="22"/>
          <w:szCs w:val="22"/>
        </w:rPr>
        <w:t xml:space="preserve"> sessões diárias, com 90 minutos de duração cada. O público </w:t>
      </w:r>
      <w:r w:rsidR="00382B34">
        <w:rPr>
          <w:rFonts w:asciiTheme="majorHAnsi" w:hAnsiTheme="majorHAnsi"/>
          <w:sz w:val="22"/>
          <w:szCs w:val="22"/>
        </w:rPr>
        <w:t>já pode</w:t>
      </w:r>
      <w:r>
        <w:rPr>
          <w:rFonts w:asciiTheme="majorHAnsi" w:hAnsiTheme="majorHAnsi"/>
          <w:sz w:val="22"/>
          <w:szCs w:val="22"/>
        </w:rPr>
        <w:t xml:space="preserve"> adquirir ingressos antecipadamente online. Vendas de ingressos na bilheteria somente a partir da data de abertura, 16 de agosto.</w:t>
      </w:r>
    </w:p>
    <w:p w14:paraId="3E66B7B2" w14:textId="77777777" w:rsidR="00D551B4" w:rsidRDefault="00D551B4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42C5F96C" w14:textId="77777777" w:rsidR="00BE589D" w:rsidRDefault="00BE589D" w:rsidP="00BE589D">
      <w:pPr>
        <w:pStyle w:val="xmsonormal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 w:rsidRPr="00A97444">
        <w:rPr>
          <w:rFonts w:ascii="Calibri" w:hAnsi="Calibri"/>
          <w:b/>
          <w:bCs/>
          <w:color w:val="000000"/>
          <w:sz w:val="22"/>
          <w:szCs w:val="22"/>
        </w:rPr>
        <w:t xml:space="preserve">Sobre a </w:t>
      </w:r>
      <w:proofErr w:type="spellStart"/>
      <w:r w:rsidRPr="00A97444">
        <w:rPr>
          <w:rFonts w:ascii="Calibri" w:hAnsi="Calibri"/>
          <w:b/>
          <w:bCs/>
          <w:color w:val="000000"/>
          <w:sz w:val="22"/>
          <w:szCs w:val="22"/>
        </w:rPr>
        <w:t>Brasilprev</w:t>
      </w:r>
      <w:proofErr w:type="spellEnd"/>
    </w:p>
    <w:p w14:paraId="6DB8C649" w14:textId="77777777" w:rsidR="00BE589D" w:rsidRPr="00A97444" w:rsidRDefault="00BE589D" w:rsidP="00BE589D">
      <w:pPr>
        <w:pStyle w:val="xmsonormal"/>
        <w:spacing w:before="0" w:beforeAutospacing="0" w:after="0" w:afterAutospacing="0"/>
        <w:rPr>
          <w:rFonts w:ascii="Calibri" w:hAnsi="Calibri"/>
          <w:b/>
          <w:bCs/>
          <w:color w:val="000000"/>
        </w:rPr>
      </w:pPr>
    </w:p>
    <w:p w14:paraId="3FFE8963" w14:textId="77777777" w:rsidR="00BE589D" w:rsidRDefault="00BE589D" w:rsidP="00BE589D">
      <w:pPr>
        <w:pStyle w:val="xmsonormal"/>
        <w:spacing w:before="0" w:beforeAutospacing="0" w:after="0" w:afterAutospacing="0"/>
        <w:jc w:val="both"/>
        <w:rPr>
          <w:rFonts w:asciiTheme="majorHAnsi" w:hAnsiTheme="majorHAnsi"/>
          <w:iCs/>
          <w:color w:val="000000"/>
          <w:sz w:val="22"/>
          <w:szCs w:val="22"/>
        </w:rPr>
      </w:pPr>
      <w:r w:rsidRPr="00A97444">
        <w:rPr>
          <w:rFonts w:asciiTheme="majorHAnsi" w:hAnsiTheme="majorHAnsi"/>
          <w:iCs/>
          <w:color w:val="000000"/>
          <w:sz w:val="22"/>
          <w:szCs w:val="22"/>
        </w:rPr>
        <w:t xml:space="preserve">Com 23 anos de atuação, a </w:t>
      </w:r>
      <w:proofErr w:type="spellStart"/>
      <w:r w:rsidRPr="00A97444">
        <w:rPr>
          <w:rFonts w:ascii="Calibri" w:hAnsi="Calibri"/>
          <w:b/>
          <w:bCs/>
          <w:color w:val="000000"/>
          <w:sz w:val="22"/>
          <w:szCs w:val="22"/>
        </w:rPr>
        <w:t>Brasilprev</w:t>
      </w:r>
      <w:proofErr w:type="spellEnd"/>
      <w:r w:rsidRPr="00A97444">
        <w:rPr>
          <w:rFonts w:ascii="Calibri" w:hAnsi="Calibri"/>
          <w:b/>
          <w:bCs/>
          <w:color w:val="000000"/>
          <w:sz w:val="22"/>
          <w:szCs w:val="22"/>
        </w:rPr>
        <w:t xml:space="preserve"> Seguros e Previdência S.A</w:t>
      </w:r>
      <w:r w:rsidRPr="00A97444">
        <w:rPr>
          <w:rFonts w:asciiTheme="majorHAnsi" w:hAnsiTheme="majorHAnsi"/>
          <w:iCs/>
          <w:color w:val="000000"/>
          <w:sz w:val="22"/>
          <w:szCs w:val="22"/>
        </w:rPr>
        <w:t xml:space="preserve"> tem como acionistas a </w:t>
      </w:r>
      <w:r w:rsidRPr="00A97444">
        <w:rPr>
          <w:rFonts w:ascii="Calibri" w:hAnsi="Calibri"/>
          <w:b/>
          <w:bCs/>
          <w:color w:val="000000"/>
          <w:sz w:val="22"/>
          <w:szCs w:val="22"/>
        </w:rPr>
        <w:t>BB Seguridade Participações</w:t>
      </w:r>
      <w:r w:rsidRPr="00A97444">
        <w:rPr>
          <w:rFonts w:asciiTheme="majorHAnsi" w:hAnsiTheme="majorHAnsi"/>
          <w:iCs/>
          <w:color w:val="000000"/>
          <w:sz w:val="22"/>
          <w:szCs w:val="22"/>
        </w:rPr>
        <w:t xml:space="preserve">, braço de seguros, capitalização e previdência privada do Banco do Brasil, um dos maiores bancos do país, e o </w:t>
      </w:r>
      <w:r w:rsidRPr="00AB137E">
        <w:rPr>
          <w:rFonts w:ascii="Calibri" w:hAnsi="Calibri"/>
          <w:b/>
          <w:bCs/>
          <w:color w:val="000000"/>
          <w:sz w:val="22"/>
          <w:szCs w:val="22"/>
        </w:rPr>
        <w:t xml:space="preserve">Principal Financial </w:t>
      </w:r>
      <w:proofErr w:type="spellStart"/>
      <w:r w:rsidRPr="00AB137E">
        <w:rPr>
          <w:rFonts w:ascii="Calibri" w:hAnsi="Calibri"/>
          <w:b/>
          <w:bCs/>
          <w:color w:val="000000"/>
          <w:sz w:val="22"/>
          <w:szCs w:val="22"/>
        </w:rPr>
        <w:t>Group</w:t>
      </w:r>
      <w:proofErr w:type="spellEnd"/>
      <w:r w:rsidRPr="00A97444">
        <w:rPr>
          <w:rFonts w:asciiTheme="majorHAnsi" w:hAnsiTheme="majorHAnsi"/>
          <w:iCs/>
          <w:color w:val="000000"/>
          <w:sz w:val="22"/>
          <w:szCs w:val="22"/>
        </w:rPr>
        <w:t>, uma das principais instituições financeiras dos Estados Unidos. A companhia é uma das maiores empresas de previdência complementar aberta no Brasil, com R$ 212 bilhões em ativos sob gestão e uma carteira de mais de 1,98 milhão de clientes.</w:t>
      </w:r>
    </w:p>
    <w:p w14:paraId="649BCBD7" w14:textId="77777777" w:rsidR="00BE589D" w:rsidRPr="00A97444" w:rsidRDefault="00BE589D" w:rsidP="00BE589D">
      <w:pPr>
        <w:pStyle w:val="xmsonormal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</w:p>
    <w:p w14:paraId="22E97D0C" w14:textId="77777777" w:rsidR="00BE589D" w:rsidRPr="00A97444" w:rsidRDefault="00BE589D" w:rsidP="00BE589D">
      <w:pPr>
        <w:pStyle w:val="xmsonormal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A97444">
        <w:rPr>
          <w:rFonts w:asciiTheme="majorHAnsi" w:hAnsiTheme="majorHAnsi"/>
          <w:iCs/>
          <w:color w:val="000000"/>
          <w:sz w:val="22"/>
          <w:szCs w:val="22"/>
        </w:rPr>
        <w:t>Especializada no setor, com produtos acessíveis e serviços diferenciados, é líder em captação líquida de todo o segmento de previdência privada aberta.</w:t>
      </w:r>
      <w:r w:rsidRPr="00A97444">
        <w:rPr>
          <w:rStyle w:val="apple-converted-space"/>
          <w:rFonts w:asciiTheme="majorHAnsi" w:hAnsiTheme="majorHAnsi"/>
          <w:iCs/>
          <w:color w:val="000000"/>
          <w:sz w:val="22"/>
          <w:szCs w:val="22"/>
        </w:rPr>
        <w:t> </w:t>
      </w:r>
      <w:r w:rsidRPr="00A97444">
        <w:rPr>
          <w:rFonts w:asciiTheme="majorHAnsi" w:hAnsiTheme="majorHAnsi"/>
          <w:iCs/>
          <w:color w:val="000000"/>
          <w:spacing w:val="-5"/>
          <w:sz w:val="22"/>
          <w:szCs w:val="22"/>
        </w:rPr>
        <w:t xml:space="preserve">Sua estratégia de vendas é focada em seu principal canal de comercialização: a rede de agências do </w:t>
      </w:r>
      <w:r w:rsidRPr="00CC4D40">
        <w:rPr>
          <w:rFonts w:ascii="Calibri" w:hAnsi="Calibri"/>
          <w:b/>
          <w:bCs/>
          <w:color w:val="000000"/>
          <w:spacing w:val="-5"/>
          <w:sz w:val="22"/>
          <w:szCs w:val="22"/>
        </w:rPr>
        <w:t>Banco do Brasil</w:t>
      </w:r>
      <w:r w:rsidRPr="00A97444">
        <w:rPr>
          <w:rFonts w:asciiTheme="majorHAnsi" w:hAnsiTheme="majorHAnsi"/>
          <w:iCs/>
          <w:color w:val="000000"/>
          <w:spacing w:val="-5"/>
          <w:sz w:val="22"/>
          <w:szCs w:val="22"/>
        </w:rPr>
        <w:t>.</w:t>
      </w:r>
    </w:p>
    <w:p w14:paraId="726F0647" w14:textId="77777777" w:rsidR="00BE589D" w:rsidRPr="00A97444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752D033" w14:textId="77777777" w:rsidR="00BE589D" w:rsidRDefault="00BE589D" w:rsidP="00BE589D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  <w:lang w:eastAsia="pt-BR"/>
        </w:rPr>
      </w:pPr>
    </w:p>
    <w:p w14:paraId="7F0A0F56" w14:textId="77777777" w:rsidR="00BE589D" w:rsidRDefault="00BE589D" w:rsidP="00BE589D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  <w:lang w:eastAsia="pt-BR"/>
        </w:rPr>
      </w:pPr>
    </w:p>
    <w:p w14:paraId="0204A316" w14:textId="77777777" w:rsidR="00736609" w:rsidRPr="00825114" w:rsidRDefault="00736609" w:rsidP="00736609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2"/>
          <w:szCs w:val="22"/>
          <w:lang w:eastAsia="pt-BR"/>
        </w:rPr>
      </w:pPr>
      <w:r w:rsidRPr="00825114">
        <w:rPr>
          <w:rFonts w:ascii="Calibri" w:eastAsia="Times New Roman" w:hAnsi="Calibri"/>
          <w:b/>
          <w:bCs/>
          <w:color w:val="000000"/>
          <w:sz w:val="22"/>
          <w:szCs w:val="22"/>
          <w:lang w:eastAsia="pt-BR"/>
        </w:rPr>
        <w:t>SERVIÇO</w:t>
      </w:r>
    </w:p>
    <w:p w14:paraId="06F1295C" w14:textId="77777777" w:rsidR="00736609" w:rsidRDefault="00736609" w:rsidP="00736609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6CCC61E6" w14:textId="77777777" w:rsidR="00736609" w:rsidRPr="001C6E2C" w:rsidRDefault="00736609" w:rsidP="00736609">
      <w:pPr>
        <w:spacing w:after="0" w:line="240" w:lineRule="auto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1C6E2C">
        <w:rPr>
          <w:rFonts w:ascii="Calibri" w:hAnsi="Calibri"/>
          <w:b/>
          <w:bCs/>
          <w:i/>
          <w:iCs/>
          <w:sz w:val="22"/>
          <w:szCs w:val="22"/>
        </w:rPr>
        <w:t>A ERA DOS GAMES</w:t>
      </w:r>
    </w:p>
    <w:p w14:paraId="77D49D38" w14:textId="77777777" w:rsidR="00736609" w:rsidRDefault="00736609" w:rsidP="00736609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Uma exposição do </w:t>
      </w:r>
      <w:proofErr w:type="spellStart"/>
      <w:r w:rsidRPr="004F6526">
        <w:rPr>
          <w:rFonts w:ascii="Calibri" w:hAnsi="Calibri"/>
          <w:b/>
          <w:bCs/>
          <w:sz w:val="22"/>
          <w:szCs w:val="22"/>
        </w:rPr>
        <w:t>Barbican</w:t>
      </w:r>
      <w:proofErr w:type="spellEnd"/>
      <w:r w:rsidRPr="004F6526">
        <w:rPr>
          <w:rFonts w:ascii="Calibri" w:hAnsi="Calibri"/>
          <w:b/>
          <w:bCs/>
          <w:sz w:val="22"/>
          <w:szCs w:val="22"/>
        </w:rPr>
        <w:t xml:space="preserve"> Centre</w:t>
      </w:r>
      <w:r>
        <w:rPr>
          <w:rFonts w:asciiTheme="majorHAnsi" w:hAnsiTheme="majorHAnsi"/>
          <w:sz w:val="22"/>
          <w:szCs w:val="22"/>
        </w:rPr>
        <w:t xml:space="preserve"> de Londres</w:t>
      </w:r>
    </w:p>
    <w:p w14:paraId="32A054D2" w14:textId="77777777" w:rsidR="00736609" w:rsidRDefault="00736609" w:rsidP="00736609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Idealização: </w:t>
      </w:r>
      <w:r w:rsidRPr="004F6526">
        <w:rPr>
          <w:rFonts w:ascii="Calibri" w:hAnsi="Calibri"/>
          <w:b/>
          <w:bCs/>
          <w:sz w:val="22"/>
          <w:szCs w:val="22"/>
        </w:rPr>
        <w:t>Dueto Produções</w:t>
      </w:r>
    </w:p>
    <w:p w14:paraId="4BE2D049" w14:textId="77777777" w:rsidR="00736609" w:rsidRDefault="00736609" w:rsidP="00736609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Realização: </w:t>
      </w:r>
      <w:r w:rsidRPr="004F6526">
        <w:rPr>
          <w:rFonts w:ascii="Calibri" w:hAnsi="Calibri"/>
          <w:b/>
          <w:bCs/>
          <w:sz w:val="22"/>
          <w:szCs w:val="22"/>
        </w:rPr>
        <w:t>Nós 3 Produções</w:t>
      </w:r>
    </w:p>
    <w:p w14:paraId="575D4BBF" w14:textId="77777777" w:rsidR="00736609" w:rsidRPr="002C047D" w:rsidRDefault="00736609" w:rsidP="00736609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Apresentação: </w:t>
      </w:r>
      <w:r w:rsidRPr="004F6526">
        <w:rPr>
          <w:rFonts w:ascii="Calibri" w:hAnsi="Calibri"/>
          <w:b/>
          <w:bCs/>
          <w:sz w:val="22"/>
          <w:szCs w:val="22"/>
        </w:rPr>
        <w:t>Ministério da Cultura</w:t>
      </w:r>
      <w:r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4F6526">
        <w:rPr>
          <w:rFonts w:ascii="Calibri" w:hAnsi="Calibri"/>
          <w:b/>
          <w:bCs/>
          <w:sz w:val="22"/>
          <w:szCs w:val="22"/>
        </w:rPr>
        <w:t>Brasilprev</w:t>
      </w:r>
      <w:proofErr w:type="spellEnd"/>
    </w:p>
    <w:p w14:paraId="312FC650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  <w:lang w:eastAsia="pt-BR"/>
        </w:rPr>
      </w:pPr>
    </w:p>
    <w:p w14:paraId="10D7C26F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  <w:lang w:eastAsia="pt-BR"/>
        </w:rPr>
      </w:pPr>
      <w:r w:rsidRPr="002C047D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De 16 de agosto a 12 de novembro de 2017 </w:t>
      </w:r>
    </w:p>
    <w:p w14:paraId="404AC7DC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  <w:lang w:eastAsia="pt-BR"/>
        </w:rPr>
      </w:pPr>
      <w:r w:rsidRPr="002C047D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>Terça a domingo, das 11 às 20 horas</w:t>
      </w:r>
    </w:p>
    <w:p w14:paraId="0FE20ADB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  <w:lang w:eastAsia="pt-BR"/>
        </w:rPr>
      </w:pPr>
      <w:r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>Sessões diárias às 11h, 12h30</w:t>
      </w:r>
      <w:r w:rsidRPr="002C047D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>, 14h</w:t>
      </w:r>
      <w:r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00, 15h30, 17h00 </w:t>
      </w:r>
      <w:r w:rsidRPr="002C047D">
        <w:rPr>
          <w:rFonts w:asciiTheme="majorHAnsi" w:eastAsia="Times New Roman" w:hAnsiTheme="majorHAnsi"/>
          <w:color w:val="000000"/>
          <w:sz w:val="22"/>
          <w:szCs w:val="22"/>
          <w:lang w:eastAsia="pt-BR"/>
        </w:rPr>
        <w:t xml:space="preserve">e 18h30 </w:t>
      </w:r>
    </w:p>
    <w:p w14:paraId="6DC7356B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0E593D1D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  <w:r w:rsidRPr="002C047D">
        <w:rPr>
          <w:rFonts w:asciiTheme="majorHAnsi" w:eastAsia="Times New Roman" w:hAnsiTheme="majorHAnsi"/>
          <w:color w:val="000000"/>
          <w:sz w:val="22"/>
          <w:szCs w:val="22"/>
        </w:rPr>
        <w:t>Preço R$40,00 / R$20,00 meia entrada*</w:t>
      </w:r>
    </w:p>
    <w:p w14:paraId="108A431A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  <w:r w:rsidRPr="002C047D">
        <w:rPr>
          <w:rFonts w:asciiTheme="majorHAnsi" w:eastAsia="Times New Roman" w:hAnsiTheme="majorHAnsi"/>
          <w:color w:val="000000"/>
          <w:sz w:val="22"/>
          <w:szCs w:val="22"/>
        </w:rPr>
        <w:t>*</w:t>
      </w:r>
      <w:hyperlink r:id="rId8" w:history="1">
        <w:r w:rsidRPr="002C047D">
          <w:rPr>
            <w:rStyle w:val="Hiperlink"/>
            <w:rFonts w:asciiTheme="majorHAnsi" w:eastAsia="Times New Roman" w:hAnsiTheme="majorHAnsi"/>
            <w:sz w:val="22"/>
            <w:szCs w:val="22"/>
          </w:rPr>
          <w:t>http://www.portaldoconsumidor.gov.br/noticia.asp?id=31127</w:t>
        </w:r>
      </w:hyperlink>
    </w:p>
    <w:p w14:paraId="233CED73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736E26AC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  <w:r w:rsidRPr="002C047D">
        <w:rPr>
          <w:rFonts w:asciiTheme="majorHAnsi" w:eastAsia="Times New Roman" w:hAnsiTheme="majorHAnsi"/>
          <w:color w:val="000000"/>
          <w:sz w:val="22"/>
          <w:szCs w:val="22"/>
        </w:rPr>
        <w:t>Endereço: Pavilhão da Bienal - 3º pavimento - Acesso pela rampa externa </w:t>
      </w:r>
    </w:p>
    <w:p w14:paraId="63CE82C7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  <w:r w:rsidRPr="002C047D">
        <w:rPr>
          <w:rFonts w:asciiTheme="majorHAnsi" w:eastAsia="Times New Roman" w:hAnsiTheme="majorHAnsi"/>
          <w:color w:val="000000"/>
          <w:sz w:val="22"/>
          <w:szCs w:val="22"/>
        </w:rPr>
        <w:t>Parque Ibirapuera - Portão 03</w:t>
      </w:r>
    </w:p>
    <w:p w14:paraId="047BF486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  <w:r w:rsidRPr="002C047D">
        <w:rPr>
          <w:rFonts w:asciiTheme="majorHAnsi" w:eastAsia="Times New Roman" w:hAnsiTheme="majorHAnsi"/>
          <w:color w:val="000000"/>
          <w:sz w:val="22"/>
          <w:szCs w:val="22"/>
        </w:rPr>
        <w:t>Av. Pedro Alvares Cabral S/N - CEP 04094-000</w:t>
      </w:r>
    </w:p>
    <w:p w14:paraId="22605F32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  <w:r w:rsidRPr="002C047D">
        <w:rPr>
          <w:rFonts w:asciiTheme="majorHAnsi" w:eastAsia="Times New Roman" w:hAnsiTheme="majorHAnsi"/>
          <w:color w:val="000000"/>
          <w:sz w:val="22"/>
          <w:szCs w:val="22"/>
        </w:rPr>
        <w:t>São Paulo, Brasil</w:t>
      </w:r>
    </w:p>
    <w:p w14:paraId="6630C293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77A57131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Início das Vendas online: 05 de julho de 2017</w:t>
      </w:r>
    </w:p>
    <w:p w14:paraId="20F4654E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Iní</w:t>
      </w:r>
      <w:r w:rsidRPr="002C047D">
        <w:rPr>
          <w:rFonts w:asciiTheme="majorHAnsi" w:eastAsia="Times New Roman" w:hAnsiTheme="majorHAnsi"/>
          <w:color w:val="000000"/>
          <w:sz w:val="22"/>
          <w:szCs w:val="22"/>
        </w:rPr>
        <w:t>cio das vendas no local: 16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de agosto de 2017</w:t>
      </w:r>
    </w:p>
    <w:p w14:paraId="5ADF2897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1"/>
          <w:szCs w:val="21"/>
        </w:rPr>
      </w:pPr>
    </w:p>
    <w:p w14:paraId="3E251F18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1"/>
          <w:szCs w:val="21"/>
        </w:rPr>
      </w:pPr>
      <w:r>
        <w:rPr>
          <w:rFonts w:asciiTheme="majorHAnsi" w:eastAsia="Times New Roman" w:hAnsiTheme="majorHAnsi"/>
          <w:color w:val="000000"/>
          <w:sz w:val="21"/>
          <w:szCs w:val="21"/>
        </w:rPr>
        <w:t>Vendas</w:t>
      </w:r>
      <w:r w:rsidRPr="002C047D">
        <w:rPr>
          <w:rFonts w:asciiTheme="majorHAnsi" w:eastAsia="Times New Roman" w:hAnsiTheme="majorHAnsi"/>
          <w:color w:val="000000"/>
          <w:sz w:val="21"/>
          <w:szCs w:val="21"/>
        </w:rPr>
        <w:t>:</w:t>
      </w:r>
      <w:r w:rsidRPr="002C047D">
        <w:rPr>
          <w:rStyle w:val="apple-converted-space"/>
          <w:rFonts w:asciiTheme="majorHAnsi" w:eastAsia="Times New Roman" w:hAnsiTheme="majorHAnsi"/>
          <w:color w:val="000000"/>
          <w:sz w:val="21"/>
          <w:szCs w:val="21"/>
        </w:rPr>
        <w:t> </w:t>
      </w:r>
      <w:hyperlink r:id="rId9" w:history="1">
        <w:r w:rsidRPr="002C047D">
          <w:rPr>
            <w:rStyle w:val="Hiperlink"/>
            <w:rFonts w:asciiTheme="majorHAnsi" w:eastAsia="Times New Roman" w:hAnsiTheme="majorHAnsi"/>
            <w:sz w:val="21"/>
            <w:szCs w:val="21"/>
          </w:rPr>
          <w:t>www.ingresse.com</w:t>
        </w:r>
      </w:hyperlink>
      <w:r w:rsidRPr="002C047D">
        <w:rPr>
          <w:rFonts w:asciiTheme="majorHAnsi" w:eastAsia="Times New Roman" w:hAnsiTheme="majorHAnsi"/>
          <w:color w:val="000000"/>
          <w:sz w:val="21"/>
          <w:szCs w:val="21"/>
        </w:rPr>
        <w:t> </w:t>
      </w:r>
    </w:p>
    <w:p w14:paraId="3126A753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1"/>
          <w:szCs w:val="21"/>
        </w:rPr>
      </w:pPr>
    </w:p>
    <w:p w14:paraId="32EDD932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1"/>
          <w:szCs w:val="21"/>
        </w:rPr>
      </w:pPr>
      <w:r w:rsidRPr="002C047D">
        <w:rPr>
          <w:rFonts w:asciiTheme="majorHAnsi" w:eastAsia="Times New Roman" w:hAnsiTheme="majorHAnsi"/>
          <w:color w:val="000000"/>
          <w:sz w:val="21"/>
          <w:szCs w:val="21"/>
        </w:rPr>
        <w:t>SAC INGRESSE</w:t>
      </w:r>
    </w:p>
    <w:p w14:paraId="69B215EC" w14:textId="77777777" w:rsidR="00736609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1"/>
          <w:szCs w:val="21"/>
        </w:rPr>
      </w:pPr>
      <w:proofErr w:type="spellStart"/>
      <w:r>
        <w:rPr>
          <w:rFonts w:asciiTheme="majorHAnsi" w:eastAsia="Times New Roman" w:hAnsiTheme="majorHAnsi"/>
          <w:color w:val="000000"/>
          <w:sz w:val="21"/>
          <w:szCs w:val="21"/>
        </w:rPr>
        <w:t>Tel</w:t>
      </w:r>
      <w:proofErr w:type="spellEnd"/>
      <w:r>
        <w:rPr>
          <w:rFonts w:asciiTheme="majorHAnsi" w:eastAsia="Times New Roman" w:hAnsiTheme="majorHAnsi"/>
          <w:color w:val="000000"/>
          <w:sz w:val="21"/>
          <w:szCs w:val="21"/>
        </w:rPr>
        <w:t xml:space="preserve"> </w:t>
      </w:r>
      <w:r w:rsidRPr="002C047D">
        <w:rPr>
          <w:rFonts w:asciiTheme="majorHAnsi" w:eastAsia="Times New Roman" w:hAnsiTheme="majorHAnsi"/>
          <w:color w:val="000000"/>
          <w:sz w:val="21"/>
          <w:szCs w:val="21"/>
        </w:rPr>
        <w:t>(11) 4933 6661 São Paulo</w:t>
      </w:r>
    </w:p>
    <w:p w14:paraId="6FFFF8DD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1"/>
          <w:szCs w:val="21"/>
        </w:rPr>
      </w:pPr>
      <w:proofErr w:type="spellStart"/>
      <w:r>
        <w:rPr>
          <w:rFonts w:asciiTheme="majorHAnsi" w:eastAsia="Times New Roman" w:hAnsiTheme="majorHAnsi"/>
          <w:color w:val="000000"/>
          <w:sz w:val="21"/>
          <w:szCs w:val="21"/>
        </w:rPr>
        <w:t>Tel</w:t>
      </w:r>
      <w:proofErr w:type="spellEnd"/>
      <w:r>
        <w:rPr>
          <w:rFonts w:asciiTheme="majorHAnsi" w:eastAsia="Times New Roman" w:hAnsiTheme="majorHAnsi"/>
          <w:color w:val="000000"/>
          <w:sz w:val="21"/>
          <w:szCs w:val="21"/>
        </w:rPr>
        <w:t xml:space="preserve"> (21) 4042 2240 </w:t>
      </w:r>
      <w:r w:rsidRPr="002C047D">
        <w:rPr>
          <w:rFonts w:asciiTheme="majorHAnsi" w:eastAsia="Times New Roman" w:hAnsiTheme="majorHAnsi"/>
          <w:color w:val="000000"/>
          <w:sz w:val="21"/>
          <w:szCs w:val="21"/>
        </w:rPr>
        <w:t>Rio de Janeiro</w:t>
      </w:r>
    </w:p>
    <w:p w14:paraId="49FB3956" w14:textId="77777777" w:rsidR="00736609" w:rsidRPr="002C047D" w:rsidRDefault="00736609" w:rsidP="00736609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45D3663E" w14:textId="77777777" w:rsidR="00736609" w:rsidRDefault="00736609" w:rsidP="00736609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OBS:</w:t>
      </w:r>
    </w:p>
    <w:p w14:paraId="5A0635BC" w14:textId="77777777" w:rsidR="00736609" w:rsidRPr="002C047D" w:rsidRDefault="00736609" w:rsidP="00736609">
      <w:pPr>
        <w:spacing w:after="0" w:line="240" w:lineRule="auto"/>
        <w:rPr>
          <w:rFonts w:asciiTheme="majorHAnsi" w:eastAsia="Times New Roman" w:hAnsiTheme="majorHAnsi"/>
          <w:color w:val="000000"/>
          <w:sz w:val="22"/>
          <w:szCs w:val="22"/>
          <w:lang w:eastAsia="pt-BR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2C047D">
        <w:rPr>
          <w:rFonts w:asciiTheme="majorHAnsi" w:eastAsia="Times New Roman" w:hAnsiTheme="majorHAnsi"/>
          <w:color w:val="000000"/>
          <w:sz w:val="22"/>
          <w:szCs w:val="22"/>
        </w:rPr>
        <w:t>Crianças até 12 anos devem estar acompanhadas pelo responsável legal</w:t>
      </w:r>
    </w:p>
    <w:p w14:paraId="3B4845A3" w14:textId="77777777" w:rsidR="00736609" w:rsidRDefault="00736609" w:rsidP="00736609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Não é permitida a entrada de: mochilas ou bolsas grandes, carrinhos de bebê, comidas e bebidas, objetos cortantes, skates, bicicletas, armas de fogo, animais (exceto cães-guias)</w:t>
      </w:r>
    </w:p>
    <w:p w14:paraId="5EA45DF9" w14:textId="77777777" w:rsidR="00736609" w:rsidRDefault="00736609" w:rsidP="00736609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62B5F88A" w14:textId="77777777" w:rsidR="00736609" w:rsidRDefault="00736609" w:rsidP="00736609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INFORMAÇÕES PARA A IMPRENSA:</w:t>
      </w:r>
    </w:p>
    <w:p w14:paraId="7A0CB33A" w14:textId="77777777" w:rsidR="00736609" w:rsidRPr="00005EED" w:rsidRDefault="00736609" w:rsidP="00736609">
      <w:pPr>
        <w:spacing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005EED">
        <w:rPr>
          <w:rFonts w:ascii="Calibri" w:hAnsi="Calibri"/>
          <w:b/>
          <w:bCs/>
          <w:sz w:val="22"/>
          <w:szCs w:val="22"/>
        </w:rPr>
        <w:t>CANIVELLO COMUNICAÇÃO</w:t>
      </w:r>
    </w:p>
    <w:p w14:paraId="5444A3E4" w14:textId="77777777" w:rsidR="00736609" w:rsidRPr="00005EED" w:rsidRDefault="00736609" w:rsidP="00736609">
      <w:pPr>
        <w:spacing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005EED">
        <w:rPr>
          <w:rFonts w:ascii="Calibri" w:hAnsi="Calibri"/>
          <w:b/>
          <w:bCs/>
          <w:sz w:val="22"/>
          <w:szCs w:val="22"/>
        </w:rPr>
        <w:t xml:space="preserve">Luciana </w:t>
      </w:r>
      <w:proofErr w:type="spellStart"/>
      <w:r w:rsidRPr="00005EED">
        <w:rPr>
          <w:rFonts w:ascii="Calibri" w:hAnsi="Calibri"/>
          <w:b/>
          <w:bCs/>
          <w:sz w:val="22"/>
          <w:szCs w:val="22"/>
        </w:rPr>
        <w:t>Pareja</w:t>
      </w:r>
      <w:proofErr w:type="spellEnd"/>
      <w:r w:rsidRPr="00005EED">
        <w:rPr>
          <w:rFonts w:ascii="Calibri" w:hAnsi="Calibri"/>
          <w:b/>
          <w:bCs/>
          <w:sz w:val="22"/>
          <w:szCs w:val="22"/>
        </w:rPr>
        <w:t xml:space="preserve"> - lucianapareja-temp@canivello.com.br - </w:t>
      </w:r>
      <w:proofErr w:type="spellStart"/>
      <w:r w:rsidRPr="00005EED">
        <w:rPr>
          <w:rFonts w:ascii="Calibri" w:hAnsi="Calibri"/>
          <w:b/>
          <w:bCs/>
          <w:sz w:val="22"/>
          <w:szCs w:val="22"/>
        </w:rPr>
        <w:t>Cel</w:t>
      </w:r>
      <w:proofErr w:type="spellEnd"/>
      <w:r w:rsidRPr="00005EED">
        <w:rPr>
          <w:rFonts w:ascii="Calibri" w:hAnsi="Calibri"/>
          <w:b/>
          <w:bCs/>
          <w:sz w:val="22"/>
          <w:szCs w:val="22"/>
        </w:rPr>
        <w:t xml:space="preserve"> (11) 97200.4131</w:t>
      </w:r>
    </w:p>
    <w:p w14:paraId="68504A5A" w14:textId="77777777" w:rsidR="00736609" w:rsidRPr="00891FBC" w:rsidRDefault="00736609" w:rsidP="00736609">
      <w:pPr>
        <w:spacing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005EED">
        <w:rPr>
          <w:rFonts w:ascii="Calibri" w:hAnsi="Calibri"/>
          <w:b/>
          <w:bCs/>
          <w:sz w:val="22"/>
          <w:szCs w:val="22"/>
        </w:rPr>
        <w:t xml:space="preserve">Mario Canivello – mario@canivello.com.br - </w:t>
      </w:r>
      <w:r>
        <w:rPr>
          <w:rFonts w:ascii="Calibri" w:hAnsi="Calibri"/>
          <w:b/>
          <w:bCs/>
          <w:sz w:val="22"/>
          <w:szCs w:val="22"/>
        </w:rPr>
        <w:t xml:space="preserve">NOVOS TELS </w:t>
      </w:r>
      <w:r w:rsidRPr="00005EED">
        <w:rPr>
          <w:rFonts w:ascii="Calibri" w:hAnsi="Calibri"/>
          <w:b/>
          <w:bCs/>
          <w:sz w:val="22"/>
          <w:szCs w:val="22"/>
        </w:rPr>
        <w:t>(21) 9</w:t>
      </w:r>
      <w:r>
        <w:rPr>
          <w:rFonts w:ascii="Calibri" w:hAnsi="Calibri"/>
          <w:b/>
          <w:bCs/>
          <w:sz w:val="22"/>
          <w:szCs w:val="22"/>
        </w:rPr>
        <w:t>8987.4499 / (21) 2540.6111</w:t>
      </w:r>
    </w:p>
    <w:p w14:paraId="102E0E82" w14:textId="77777777" w:rsidR="00BE589D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6D9491CF" w14:textId="77777777" w:rsidR="003641AA" w:rsidRDefault="003641AA" w:rsidP="003641AA">
      <w:pPr>
        <w:spacing w:after="0" w:line="240" w:lineRule="auto"/>
        <w:rPr>
          <w:rFonts w:ascii="Calibri" w:hAnsi="Calibri"/>
          <w:b/>
          <w:bCs/>
        </w:rPr>
      </w:pPr>
    </w:p>
    <w:p w14:paraId="51EF52A3" w14:textId="77777777" w:rsidR="00BE589D" w:rsidRDefault="00BE589D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32126EA" w14:textId="77777777" w:rsidR="00697550" w:rsidRPr="00BE1E37" w:rsidRDefault="00697550" w:rsidP="00697550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6A173929" w14:textId="77777777" w:rsidR="00697550" w:rsidRDefault="00697550" w:rsidP="00BE589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sectPr w:rsidR="00697550" w:rsidSect="006322A7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18DC0" w14:textId="77777777" w:rsidR="002A45CE" w:rsidRDefault="002A45CE" w:rsidP="006322A7">
      <w:r>
        <w:separator/>
      </w:r>
    </w:p>
  </w:endnote>
  <w:endnote w:type="continuationSeparator" w:id="0">
    <w:p w14:paraId="32C4361C" w14:textId="77777777" w:rsidR="002A45CE" w:rsidRDefault="002A45CE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gna 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6A92" w14:textId="7ACD5C64" w:rsidR="00B643A6" w:rsidRDefault="00B643A6">
    <w:pPr>
      <w:pStyle w:val="Rodap"/>
    </w:pPr>
    <w:r>
      <w:t xml:space="preserve">              </w:t>
    </w:r>
    <w:r w:rsidR="004379DE">
      <w:rPr>
        <w:noProof/>
        <w:lang w:val="pt-BR" w:eastAsia="pt-BR"/>
      </w:rPr>
      <w:drawing>
        <wp:inline distT="0" distB="0" distL="0" distR="0" wp14:anchorId="335E6FCD" wp14:editId="60B1E9EC">
          <wp:extent cx="5727700" cy="529590"/>
          <wp:effectExtent l="0" t="0" r="1270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6-29 at 5.05.20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63263" w14:textId="77777777" w:rsidR="002A45CE" w:rsidRDefault="002A45CE" w:rsidP="006322A7">
      <w:r>
        <w:separator/>
      </w:r>
    </w:p>
  </w:footnote>
  <w:footnote w:type="continuationSeparator" w:id="0">
    <w:p w14:paraId="146D57D2" w14:textId="77777777" w:rsidR="002A45CE" w:rsidRDefault="002A45CE" w:rsidP="006322A7">
      <w:r>
        <w:continuationSeparator/>
      </w:r>
    </w:p>
  </w:footnote>
  <w:footnote w:id="1">
    <w:p w14:paraId="3992AFE5" w14:textId="77777777" w:rsidR="00BE589D" w:rsidRPr="00C963A9" w:rsidRDefault="00BE589D" w:rsidP="00BE589D">
      <w:pPr>
        <w:pStyle w:val="Textodenotaderodap"/>
        <w:rPr>
          <w:rFonts w:asciiTheme="majorHAnsi" w:hAnsiTheme="majorHAnsi"/>
          <w:sz w:val="20"/>
          <w:szCs w:val="20"/>
        </w:rPr>
      </w:pPr>
      <w:r w:rsidRPr="00C963A9">
        <w:rPr>
          <w:rStyle w:val="Refdenotaderodap"/>
          <w:rFonts w:asciiTheme="majorHAnsi" w:hAnsiTheme="majorHAnsi"/>
          <w:sz w:val="20"/>
          <w:szCs w:val="20"/>
        </w:rPr>
        <w:footnoteRef/>
      </w:r>
      <w:r w:rsidRPr="00C963A9">
        <w:rPr>
          <w:rFonts w:asciiTheme="majorHAnsi" w:hAnsiTheme="majorHAnsi"/>
          <w:sz w:val="20"/>
          <w:szCs w:val="20"/>
        </w:rPr>
        <w:t xml:space="preserve"> Ver </w:t>
      </w:r>
      <w:hyperlink r:id="rId1" w:history="1">
        <w:r w:rsidRPr="00C963A9">
          <w:rPr>
            <w:rStyle w:val="Hiperlink"/>
            <w:rFonts w:asciiTheme="majorHAnsi" w:hAnsiTheme="majorHAnsi"/>
            <w:sz w:val="20"/>
            <w:szCs w:val="20"/>
          </w:rPr>
          <w:t>https://www.ecommercebrasil.com.br/noticias/industria-de-jogos-eletronicos-um-setor-em-ascensao-no-brasil/</w:t>
        </w:r>
      </w:hyperlink>
      <w:r w:rsidRPr="00C963A9">
        <w:rPr>
          <w:rFonts w:asciiTheme="majorHAnsi" w:hAnsiTheme="majorHAnsi"/>
          <w:sz w:val="20"/>
          <w:szCs w:val="20"/>
        </w:rPr>
        <w:t xml:space="preserve">. Consultado em 17 de junho de 2017.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7165" w14:textId="2AED722A" w:rsidR="00B643A6" w:rsidRDefault="004379DE" w:rsidP="008B2CBC">
    <w:pPr>
      <w:pStyle w:val="Cabealho"/>
    </w:pPr>
    <w:r w:rsidRPr="004379DE">
      <w:rPr>
        <w:noProof/>
        <w:lang w:val="pt-BR" w:eastAsia="pt-BR"/>
      </w:rPr>
      <w:drawing>
        <wp:inline distT="0" distB="0" distL="0" distR="0" wp14:anchorId="66CD3133" wp14:editId="7241734C">
          <wp:extent cx="1102285" cy="3913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285" cy="39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88CEE" w14:textId="77777777" w:rsidR="00B643A6" w:rsidRDefault="00B643A6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C16B7"/>
    <w:multiLevelType w:val="hybridMultilevel"/>
    <w:tmpl w:val="4AD40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A1F"/>
    <w:multiLevelType w:val="hybridMultilevel"/>
    <w:tmpl w:val="0EF66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2A69"/>
    <w:multiLevelType w:val="hybridMultilevel"/>
    <w:tmpl w:val="7D18751A"/>
    <w:lvl w:ilvl="0" w:tplc="E0FA6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2C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0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AB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8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01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C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A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1104D7"/>
    <w:multiLevelType w:val="hybridMultilevel"/>
    <w:tmpl w:val="B90C79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10F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D7528CC"/>
    <w:multiLevelType w:val="hybridMultilevel"/>
    <w:tmpl w:val="C9BCBB48"/>
    <w:lvl w:ilvl="0" w:tplc="3D821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8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83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4E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C4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4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8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1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F4FCB"/>
    <w:multiLevelType w:val="hybridMultilevel"/>
    <w:tmpl w:val="A966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47813"/>
    <w:multiLevelType w:val="hybridMultilevel"/>
    <w:tmpl w:val="6F0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85E4C"/>
    <w:multiLevelType w:val="hybridMultilevel"/>
    <w:tmpl w:val="B16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91488"/>
    <w:multiLevelType w:val="hybridMultilevel"/>
    <w:tmpl w:val="C950B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67EB8"/>
    <w:multiLevelType w:val="hybridMultilevel"/>
    <w:tmpl w:val="3246276E"/>
    <w:lvl w:ilvl="0" w:tplc="DF7E74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B13D6"/>
    <w:multiLevelType w:val="hybridMultilevel"/>
    <w:tmpl w:val="5F162D54"/>
    <w:lvl w:ilvl="0" w:tplc="4AFA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0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E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E6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CD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C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074D5"/>
    <w:multiLevelType w:val="hybridMultilevel"/>
    <w:tmpl w:val="D204756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C1CCA"/>
    <w:multiLevelType w:val="hybridMultilevel"/>
    <w:tmpl w:val="725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8144C"/>
    <w:multiLevelType w:val="hybridMultilevel"/>
    <w:tmpl w:val="9496B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21049"/>
    <w:multiLevelType w:val="hybridMultilevel"/>
    <w:tmpl w:val="0116E55C"/>
    <w:lvl w:ilvl="0" w:tplc="812A9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82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A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E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0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B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3992A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74040B8"/>
    <w:multiLevelType w:val="hybridMultilevel"/>
    <w:tmpl w:val="2DBAB27E"/>
    <w:lvl w:ilvl="0" w:tplc="6146165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D108B"/>
    <w:multiLevelType w:val="hybridMultilevel"/>
    <w:tmpl w:val="984E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A16E9"/>
    <w:multiLevelType w:val="hybridMultilevel"/>
    <w:tmpl w:val="56300B36"/>
    <w:lvl w:ilvl="0" w:tplc="6E3C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2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09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2B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A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80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4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0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825B97"/>
    <w:multiLevelType w:val="hybridMultilevel"/>
    <w:tmpl w:val="9AB82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"/>
  </w:num>
  <w:num w:numId="7">
    <w:abstractNumId w:val="0"/>
  </w:num>
  <w:num w:numId="8">
    <w:abstractNumId w:val="22"/>
  </w:num>
  <w:num w:numId="9">
    <w:abstractNumId w:val="17"/>
  </w:num>
  <w:num w:numId="10">
    <w:abstractNumId w:val="21"/>
  </w:num>
  <w:num w:numId="11">
    <w:abstractNumId w:val="11"/>
  </w:num>
  <w:num w:numId="12">
    <w:abstractNumId w:val="24"/>
  </w:num>
  <w:num w:numId="13">
    <w:abstractNumId w:val="23"/>
  </w:num>
  <w:num w:numId="14">
    <w:abstractNumId w:val="6"/>
  </w:num>
  <w:num w:numId="15">
    <w:abstractNumId w:val="14"/>
  </w:num>
  <w:num w:numId="16">
    <w:abstractNumId w:val="3"/>
  </w:num>
  <w:num w:numId="17">
    <w:abstractNumId w:val="19"/>
  </w:num>
  <w:num w:numId="18">
    <w:abstractNumId w:val="2"/>
  </w:num>
  <w:num w:numId="19">
    <w:abstractNumId w:val="18"/>
  </w:num>
  <w:num w:numId="20">
    <w:abstractNumId w:val="12"/>
  </w:num>
  <w:num w:numId="21">
    <w:abstractNumId w:val="13"/>
  </w:num>
  <w:num w:numId="22">
    <w:abstractNumId w:val="8"/>
  </w:num>
  <w:num w:numId="23">
    <w:abstractNumId w:val="20"/>
  </w:num>
  <w:num w:numId="24">
    <w:abstractNumId w:val="5"/>
  </w:num>
  <w:num w:numId="25">
    <w:abstractNumId w:val="9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3420"/>
    <w:rsid w:val="00012EAA"/>
    <w:rsid w:val="00013CFE"/>
    <w:rsid w:val="00016D97"/>
    <w:rsid w:val="00021721"/>
    <w:rsid w:val="00032E24"/>
    <w:rsid w:val="000436B1"/>
    <w:rsid w:val="00044F62"/>
    <w:rsid w:val="0006037A"/>
    <w:rsid w:val="00064CDA"/>
    <w:rsid w:val="000759AF"/>
    <w:rsid w:val="000804FB"/>
    <w:rsid w:val="00085F9F"/>
    <w:rsid w:val="00087039"/>
    <w:rsid w:val="000961A8"/>
    <w:rsid w:val="000B6F19"/>
    <w:rsid w:val="000E440F"/>
    <w:rsid w:val="000E463C"/>
    <w:rsid w:val="000F1858"/>
    <w:rsid w:val="000F6A83"/>
    <w:rsid w:val="0011452D"/>
    <w:rsid w:val="0011483F"/>
    <w:rsid w:val="001357ED"/>
    <w:rsid w:val="00143924"/>
    <w:rsid w:val="00146AA5"/>
    <w:rsid w:val="00146BAA"/>
    <w:rsid w:val="00163F84"/>
    <w:rsid w:val="0016453A"/>
    <w:rsid w:val="00177401"/>
    <w:rsid w:val="00187EDA"/>
    <w:rsid w:val="001A3FA3"/>
    <w:rsid w:val="001B0C95"/>
    <w:rsid w:val="001B2DD6"/>
    <w:rsid w:val="001B3CFE"/>
    <w:rsid w:val="001E2E60"/>
    <w:rsid w:val="0020453D"/>
    <w:rsid w:val="00212D19"/>
    <w:rsid w:val="00227CDB"/>
    <w:rsid w:val="00231196"/>
    <w:rsid w:val="00236582"/>
    <w:rsid w:val="00242139"/>
    <w:rsid w:val="00254799"/>
    <w:rsid w:val="00256509"/>
    <w:rsid w:val="00266AD0"/>
    <w:rsid w:val="00270DBC"/>
    <w:rsid w:val="00272831"/>
    <w:rsid w:val="0028133D"/>
    <w:rsid w:val="00297A1A"/>
    <w:rsid w:val="002A45CE"/>
    <w:rsid w:val="002B13F2"/>
    <w:rsid w:val="002B1FF8"/>
    <w:rsid w:val="002C02E3"/>
    <w:rsid w:val="002C283F"/>
    <w:rsid w:val="002E48C7"/>
    <w:rsid w:val="002F6C71"/>
    <w:rsid w:val="003003F7"/>
    <w:rsid w:val="00312706"/>
    <w:rsid w:val="003202C5"/>
    <w:rsid w:val="00324308"/>
    <w:rsid w:val="00325386"/>
    <w:rsid w:val="003273E5"/>
    <w:rsid w:val="00344692"/>
    <w:rsid w:val="00354660"/>
    <w:rsid w:val="003641AA"/>
    <w:rsid w:val="00382B34"/>
    <w:rsid w:val="0039273D"/>
    <w:rsid w:val="003B128D"/>
    <w:rsid w:val="003B4F8E"/>
    <w:rsid w:val="003C274A"/>
    <w:rsid w:val="003C58F6"/>
    <w:rsid w:val="003E1A4E"/>
    <w:rsid w:val="003F5D72"/>
    <w:rsid w:val="00400F2A"/>
    <w:rsid w:val="00404EF9"/>
    <w:rsid w:val="00411082"/>
    <w:rsid w:val="004126F4"/>
    <w:rsid w:val="004379DE"/>
    <w:rsid w:val="00457321"/>
    <w:rsid w:val="00470000"/>
    <w:rsid w:val="00482BA3"/>
    <w:rsid w:val="004938D9"/>
    <w:rsid w:val="004A36C0"/>
    <w:rsid w:val="004A6B26"/>
    <w:rsid w:val="004C28E7"/>
    <w:rsid w:val="004D5632"/>
    <w:rsid w:val="004E0CF3"/>
    <w:rsid w:val="004E74A0"/>
    <w:rsid w:val="004F4A60"/>
    <w:rsid w:val="004F6526"/>
    <w:rsid w:val="005051F0"/>
    <w:rsid w:val="0050626F"/>
    <w:rsid w:val="00507824"/>
    <w:rsid w:val="00514D48"/>
    <w:rsid w:val="00522356"/>
    <w:rsid w:val="00537E9E"/>
    <w:rsid w:val="00545B8D"/>
    <w:rsid w:val="00561311"/>
    <w:rsid w:val="00573ACA"/>
    <w:rsid w:val="005B23B1"/>
    <w:rsid w:val="005C1294"/>
    <w:rsid w:val="005D38D0"/>
    <w:rsid w:val="005F0E2A"/>
    <w:rsid w:val="005F607E"/>
    <w:rsid w:val="00604291"/>
    <w:rsid w:val="006100DA"/>
    <w:rsid w:val="00624282"/>
    <w:rsid w:val="00625DC4"/>
    <w:rsid w:val="00627284"/>
    <w:rsid w:val="006322A7"/>
    <w:rsid w:val="0064215E"/>
    <w:rsid w:val="0064239D"/>
    <w:rsid w:val="006474FC"/>
    <w:rsid w:val="00651CEB"/>
    <w:rsid w:val="00661FA0"/>
    <w:rsid w:val="006625F5"/>
    <w:rsid w:val="0066544A"/>
    <w:rsid w:val="006668A0"/>
    <w:rsid w:val="00673454"/>
    <w:rsid w:val="0068615B"/>
    <w:rsid w:val="00694993"/>
    <w:rsid w:val="00697550"/>
    <w:rsid w:val="006B2F36"/>
    <w:rsid w:val="006B4293"/>
    <w:rsid w:val="006C3E75"/>
    <w:rsid w:val="006C67DF"/>
    <w:rsid w:val="006C75A1"/>
    <w:rsid w:val="006C7C52"/>
    <w:rsid w:val="006E5F50"/>
    <w:rsid w:val="006F0C35"/>
    <w:rsid w:val="007229E9"/>
    <w:rsid w:val="00722A75"/>
    <w:rsid w:val="00733656"/>
    <w:rsid w:val="00736609"/>
    <w:rsid w:val="00737B9A"/>
    <w:rsid w:val="007415F7"/>
    <w:rsid w:val="00747D8C"/>
    <w:rsid w:val="00776899"/>
    <w:rsid w:val="0078179C"/>
    <w:rsid w:val="00785238"/>
    <w:rsid w:val="007A2BB8"/>
    <w:rsid w:val="007A317D"/>
    <w:rsid w:val="007C045A"/>
    <w:rsid w:val="007C1D18"/>
    <w:rsid w:val="007C1E3C"/>
    <w:rsid w:val="007C3870"/>
    <w:rsid w:val="007F2906"/>
    <w:rsid w:val="00830DF3"/>
    <w:rsid w:val="00837CB9"/>
    <w:rsid w:val="008545A0"/>
    <w:rsid w:val="00856788"/>
    <w:rsid w:val="00874533"/>
    <w:rsid w:val="008746EA"/>
    <w:rsid w:val="008B2340"/>
    <w:rsid w:val="008B2CBC"/>
    <w:rsid w:val="008B5FA8"/>
    <w:rsid w:val="00915591"/>
    <w:rsid w:val="009375F5"/>
    <w:rsid w:val="0093770E"/>
    <w:rsid w:val="00966B96"/>
    <w:rsid w:val="0097257A"/>
    <w:rsid w:val="009854E3"/>
    <w:rsid w:val="00991572"/>
    <w:rsid w:val="009961B0"/>
    <w:rsid w:val="009965BB"/>
    <w:rsid w:val="009A4DC2"/>
    <w:rsid w:val="009C1FDC"/>
    <w:rsid w:val="009C730E"/>
    <w:rsid w:val="009F17E2"/>
    <w:rsid w:val="009F50C6"/>
    <w:rsid w:val="00A031B8"/>
    <w:rsid w:val="00A16D69"/>
    <w:rsid w:val="00A173A4"/>
    <w:rsid w:val="00A17772"/>
    <w:rsid w:val="00A3074C"/>
    <w:rsid w:val="00A325D8"/>
    <w:rsid w:val="00A472BB"/>
    <w:rsid w:val="00A61485"/>
    <w:rsid w:val="00A67FE2"/>
    <w:rsid w:val="00A750E5"/>
    <w:rsid w:val="00A825D8"/>
    <w:rsid w:val="00A96769"/>
    <w:rsid w:val="00AB744E"/>
    <w:rsid w:val="00AC4294"/>
    <w:rsid w:val="00AD0B17"/>
    <w:rsid w:val="00AD16F2"/>
    <w:rsid w:val="00AD442A"/>
    <w:rsid w:val="00AE3DA5"/>
    <w:rsid w:val="00AF23CC"/>
    <w:rsid w:val="00AF2A24"/>
    <w:rsid w:val="00AF4FD6"/>
    <w:rsid w:val="00B2479C"/>
    <w:rsid w:val="00B3431B"/>
    <w:rsid w:val="00B501B8"/>
    <w:rsid w:val="00B643A6"/>
    <w:rsid w:val="00B75EE1"/>
    <w:rsid w:val="00B84BD7"/>
    <w:rsid w:val="00B93C5D"/>
    <w:rsid w:val="00BA7526"/>
    <w:rsid w:val="00BB4085"/>
    <w:rsid w:val="00BE589D"/>
    <w:rsid w:val="00BF5A3B"/>
    <w:rsid w:val="00BF5B14"/>
    <w:rsid w:val="00C302A7"/>
    <w:rsid w:val="00C31F0A"/>
    <w:rsid w:val="00C41375"/>
    <w:rsid w:val="00C52600"/>
    <w:rsid w:val="00C55BCE"/>
    <w:rsid w:val="00C62FA1"/>
    <w:rsid w:val="00C770E5"/>
    <w:rsid w:val="00C832A0"/>
    <w:rsid w:val="00C90AC5"/>
    <w:rsid w:val="00C92A23"/>
    <w:rsid w:val="00CA399D"/>
    <w:rsid w:val="00CA6CF8"/>
    <w:rsid w:val="00CC2F3F"/>
    <w:rsid w:val="00CE0665"/>
    <w:rsid w:val="00CE0E57"/>
    <w:rsid w:val="00CF039C"/>
    <w:rsid w:val="00D0466B"/>
    <w:rsid w:val="00D156E7"/>
    <w:rsid w:val="00D203DA"/>
    <w:rsid w:val="00D240F1"/>
    <w:rsid w:val="00D2662A"/>
    <w:rsid w:val="00D374F6"/>
    <w:rsid w:val="00D410E2"/>
    <w:rsid w:val="00D453C2"/>
    <w:rsid w:val="00D551B4"/>
    <w:rsid w:val="00D623E1"/>
    <w:rsid w:val="00D65EEB"/>
    <w:rsid w:val="00D75DEF"/>
    <w:rsid w:val="00D763E1"/>
    <w:rsid w:val="00D80E60"/>
    <w:rsid w:val="00DD648C"/>
    <w:rsid w:val="00DE7F36"/>
    <w:rsid w:val="00DF292A"/>
    <w:rsid w:val="00E117B4"/>
    <w:rsid w:val="00E13A32"/>
    <w:rsid w:val="00E15FB2"/>
    <w:rsid w:val="00E2798B"/>
    <w:rsid w:val="00E33725"/>
    <w:rsid w:val="00E3440A"/>
    <w:rsid w:val="00E41A32"/>
    <w:rsid w:val="00E50C16"/>
    <w:rsid w:val="00E60EF2"/>
    <w:rsid w:val="00E940A0"/>
    <w:rsid w:val="00E96B8A"/>
    <w:rsid w:val="00EA08FE"/>
    <w:rsid w:val="00EA3D3C"/>
    <w:rsid w:val="00EA77BE"/>
    <w:rsid w:val="00EB02A0"/>
    <w:rsid w:val="00EB4935"/>
    <w:rsid w:val="00EB4DAA"/>
    <w:rsid w:val="00EB5255"/>
    <w:rsid w:val="00EB5C55"/>
    <w:rsid w:val="00ED4CE2"/>
    <w:rsid w:val="00ED6617"/>
    <w:rsid w:val="00ED7539"/>
    <w:rsid w:val="00EE437E"/>
    <w:rsid w:val="00F21AFD"/>
    <w:rsid w:val="00F418F2"/>
    <w:rsid w:val="00F4524B"/>
    <w:rsid w:val="00F472FE"/>
    <w:rsid w:val="00F578E0"/>
    <w:rsid w:val="00F631D8"/>
    <w:rsid w:val="00F805C0"/>
    <w:rsid w:val="00F82149"/>
    <w:rsid w:val="00FB284C"/>
    <w:rsid w:val="00FE2A35"/>
    <w:rsid w:val="00FE3A5C"/>
    <w:rsid w:val="00FE4EE4"/>
    <w:rsid w:val="00FF2FCC"/>
    <w:rsid w:val="00FF502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4E9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292A"/>
    <w:pPr>
      <w:spacing w:after="200" w:line="480" w:lineRule="auto"/>
    </w:pPr>
    <w:rPr>
      <w:rFonts w:ascii="Arial" w:eastAsiaTheme="minorEastAsia" w:hAnsi="Arial" w:cs="Times New Roman"/>
      <w:lang w:val="pt-BR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22A7"/>
  </w:style>
  <w:style w:type="paragraph" w:styleId="Rodap">
    <w:name w:val="footer"/>
    <w:basedOn w:val="Normal"/>
    <w:link w:val="Rodap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6322A7"/>
  </w:style>
  <w:style w:type="paragraph" w:styleId="SemEspaamento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iperlink">
    <w:name w:val="Hyperlink"/>
    <w:basedOn w:val="Fontepargpadro"/>
    <w:uiPriority w:val="99"/>
    <w:unhideWhenUsed/>
    <w:rsid w:val="006B429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2A75"/>
    <w:pPr>
      <w:spacing w:after="0" w:line="240" w:lineRule="auto"/>
      <w:ind w:left="720"/>
      <w:contextualSpacing/>
    </w:pPr>
    <w:rPr>
      <w:rFonts w:ascii="Cambria" w:eastAsia="ＭＳ 明朝" w:hAnsi="Cambria"/>
      <w:lang w:eastAsia="en-US"/>
    </w:rPr>
  </w:style>
  <w:style w:type="character" w:customStyle="1" w:styleId="apple-converted-space">
    <w:name w:val="apple-converted-space"/>
    <w:basedOn w:val="Fontepargpadro"/>
    <w:rsid w:val="00F472FE"/>
  </w:style>
  <w:style w:type="paragraph" w:styleId="TextosemFormatao">
    <w:name w:val="Plain Text"/>
    <w:basedOn w:val="Normal"/>
    <w:link w:val="TextosemFormataoChar"/>
    <w:uiPriority w:val="99"/>
    <w:unhideWhenUsed/>
    <w:rsid w:val="00F472FE"/>
    <w:pPr>
      <w:spacing w:after="0" w:line="240" w:lineRule="auto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Corpodetexto">
    <w:name w:val="Body Text"/>
    <w:basedOn w:val="Normal"/>
    <w:link w:val="CorpodetextoChar"/>
    <w:rsid w:val="008B2CBC"/>
    <w:pPr>
      <w:spacing w:after="120" w:line="360" w:lineRule="auto"/>
    </w:pPr>
    <w:rPr>
      <w:rFonts w:ascii="Signa Light" w:eastAsia="Cambria" w:hAnsi="Signa Light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B2CBC"/>
    <w:rPr>
      <w:rFonts w:ascii="Signa Light" w:eastAsia="Cambria" w:hAnsi="Signa Light" w:cs="Times New Roman"/>
      <w:lang w:val="pt-BR"/>
    </w:rPr>
  </w:style>
  <w:style w:type="paragraph" w:customStyle="1" w:styleId="Body">
    <w:name w:val="Body"/>
    <w:rsid w:val="00470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8133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1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133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33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1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50E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7F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694993"/>
    <w:pPr>
      <w:spacing w:after="0" w:line="240" w:lineRule="auto"/>
    </w:pPr>
    <w:rPr>
      <w:rFonts w:eastAsiaTheme="minorHAnsi" w:cs="Arial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4993"/>
    <w:rPr>
      <w:rFonts w:ascii="Arial" w:hAnsi="Arial" w:cs="Arial"/>
      <w:lang w:val="pt-BR"/>
    </w:rPr>
  </w:style>
  <w:style w:type="character" w:styleId="Refdenotaderodap">
    <w:name w:val="footnote reference"/>
    <w:basedOn w:val="Fontepargpadro"/>
    <w:uiPriority w:val="99"/>
    <w:unhideWhenUsed/>
    <w:rsid w:val="00694993"/>
    <w:rPr>
      <w:vertAlign w:val="superscript"/>
    </w:rPr>
  </w:style>
  <w:style w:type="paragraph" w:customStyle="1" w:styleId="xmsonormal">
    <w:name w:val="xmsonormal"/>
    <w:basedOn w:val="Normal"/>
    <w:rsid w:val="00694993"/>
    <w:pPr>
      <w:spacing w:before="100" w:beforeAutospacing="1" w:after="100" w:afterAutospacing="1" w:line="240" w:lineRule="auto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ortaldoconsumidor.gov.br/noticia.asp?id=31127" TargetMode="External"/><Relationship Id="rId9" Type="http://schemas.openxmlformats.org/officeDocument/2006/relationships/hyperlink" Target="http://www.ingresse.com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mmercebrasil.com.br/noticias/industria-de-jogos-eletronicos-um-setor-em-ascensao-no-bras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1709</Words>
  <Characters>9233</Characters>
  <Application>Microsoft Macintosh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lima</dc:creator>
  <cp:keywords/>
  <dc:description/>
  <cp:lastModifiedBy>Usuário do Microsoft Office</cp:lastModifiedBy>
  <cp:revision>2</cp:revision>
  <dcterms:created xsi:type="dcterms:W3CDTF">2017-08-02T18:20:00Z</dcterms:created>
  <dcterms:modified xsi:type="dcterms:W3CDTF">2017-08-02T18:20:00Z</dcterms:modified>
</cp:coreProperties>
</file>